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59" w:rsidRPr="00D56065" w:rsidRDefault="006C5859" w:rsidP="0042528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"аренда", "срок аренды", "дата начала аренды", "базовый актив", "актив в форме права пользования", "краткосрочная аренда", "первоначальные прямые затраты", "чистая инвестиция в аренду", "гарантия ликвидационной стоимости", "операция продажи с обратной арендой", "арендные платежи" в целях настоящего Положения применяются в значениях, установленных </w:t>
      </w:r>
      <w:hyperlink r:id="rId5" w:anchor="block_1000" w:history="1">
        <w:r w:rsidRPr="00D5606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Международным стандартом</w:t>
        </w:r>
      </w:hyperlink>
      <w:r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 финансовой отчетности (IFRS) 16 "Аренда", введенным в действие на территории Российской Федерации </w:t>
      </w:r>
      <w:hyperlink r:id="rId6" w:history="1">
        <w:r w:rsidRPr="00D5606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приказом</w:t>
        </w:r>
      </w:hyperlink>
      <w:r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финансов Российской Федерации от 11 июля 2016 года N 111н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 августа 2016 года N 43044 (далее - приказ Минфина России N 111н) (далее - МСФО (IFRS) 16).</w:t>
      </w:r>
    </w:p>
    <w:p w:rsidR="006C5859" w:rsidRPr="00D56065" w:rsidRDefault="006C5859" w:rsidP="00425283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C5859" w:rsidRPr="002F4BB6" w:rsidRDefault="006C5859" w:rsidP="00425283">
      <w:pPr>
        <w:pStyle w:val="a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635-П для ломбардов главная информация с</w:t>
      </w:r>
      <w:r w:rsidR="002F4BB6"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держится в главе 2. «Классификация и бухгалтерский учет договоров аренды </w:t>
      </w:r>
      <w:proofErr w:type="spellStart"/>
      <w:r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некредитными</w:t>
      </w:r>
      <w:proofErr w:type="spellEnd"/>
      <w:r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финансовым</w:t>
      </w:r>
      <w:r w:rsidR="002F4BB6" w:rsidRPr="002F4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организациями – арендаторами», так как правило ломбарды берут в аренду (являются арендаторами).</w:t>
      </w:r>
    </w:p>
    <w:p w:rsidR="002F4BB6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МСФО 16 «Аренда» заставил компаний-арендаторов показывать ранее замалчиваемые активы в отчетности: у них разграничение аренды по видам потеряло актуальность. </w:t>
      </w: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Теперь бизнес признает активами любые арендованные объекты. </w:t>
      </w: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F4BB6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Упрощенная схема сохранила значимость для договоров длительностью менее года и операций с малоценными объектами. </w:t>
      </w:r>
    </w:p>
    <w:p w:rsidR="002F4BB6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учете и составлении отчетности арендодателей после принятия нового стандарта МСФО 16 изменений не произошло (до этого действовал стандарт МСФО 17). Они продолжают относить аренду к одной из двух групп: финансовая — активы выбывают с баланса арендодателя; операционная — активы остаются на балансе арендодателя.</w:t>
      </w:r>
    </w:p>
    <w:p w:rsidR="002F4BB6" w:rsidRPr="00D56065" w:rsidRDefault="002F4BB6" w:rsidP="002F4BB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4BB6" w:rsidRPr="00D56065" w:rsidRDefault="002F4BB6" w:rsidP="002F4BB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в момент заключения договора аренды арендатор должен признать право пользования активом и соответствующее обязательство в отчете о финансовом положении в сумме дисконтированных будущих платежей по договору аренды.</w:t>
      </w:r>
    </w:p>
    <w:p w:rsidR="002F4BB6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Обобщенная схема учета аренды по МСФО 16 показана в таблице. </w:t>
      </w:r>
    </w:p>
    <w:p w:rsidR="002F4BB6" w:rsidRPr="00D56065" w:rsidRDefault="002F4BB6" w:rsidP="002F4BB6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4678"/>
        <w:gridCol w:w="4394"/>
      </w:tblGrid>
      <w:tr w:rsidR="002F4BB6" w:rsidRPr="00D56065" w:rsidTr="00A16E18">
        <w:tc>
          <w:tcPr>
            <w:tcW w:w="2336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29" w:type="dxa"/>
          </w:tcPr>
          <w:p w:rsidR="002F4BB6" w:rsidRPr="002F4BB6" w:rsidRDefault="002F4BB6" w:rsidP="00A16E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Арендатор</w:t>
            </w:r>
          </w:p>
        </w:tc>
        <w:tc>
          <w:tcPr>
            <w:tcW w:w="9072" w:type="dxa"/>
            <w:gridSpan w:val="2"/>
          </w:tcPr>
          <w:p w:rsidR="002F4BB6" w:rsidRPr="002F4BB6" w:rsidRDefault="002F4BB6" w:rsidP="00A16E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F4B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Арендодатель</w:t>
            </w:r>
          </w:p>
        </w:tc>
      </w:tr>
      <w:tr w:rsidR="002F4BB6" w:rsidRPr="00D56065" w:rsidTr="00A16E18">
        <w:tc>
          <w:tcPr>
            <w:tcW w:w="2336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29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Финансовая аренда</w:t>
            </w:r>
          </w:p>
        </w:tc>
        <w:tc>
          <w:tcPr>
            <w:tcW w:w="4394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Операционная аренда</w:t>
            </w:r>
          </w:p>
        </w:tc>
      </w:tr>
      <w:tr w:rsidR="002F4BB6" w:rsidRPr="00D56065" w:rsidTr="00A16E18">
        <w:tc>
          <w:tcPr>
            <w:tcW w:w="2336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Первоначальное признание</w:t>
            </w:r>
          </w:p>
        </w:tc>
        <w:tc>
          <w:tcPr>
            <w:tcW w:w="3329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право пользования активом; обязательства по арендным платежам</w:t>
            </w:r>
          </w:p>
        </w:tc>
        <w:tc>
          <w:tcPr>
            <w:tcW w:w="4678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дебиторская задолженность</w:t>
            </w:r>
          </w:p>
        </w:tc>
        <w:tc>
          <w:tcPr>
            <w:tcW w:w="4394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продолжает признавать актив</w:t>
            </w:r>
          </w:p>
        </w:tc>
      </w:tr>
      <w:tr w:rsidR="002F4BB6" w:rsidRPr="00D56065" w:rsidTr="00A16E18">
        <w:tc>
          <w:tcPr>
            <w:tcW w:w="2336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Последующая оценка и учет</w:t>
            </w:r>
          </w:p>
        </w:tc>
        <w:tc>
          <w:tcPr>
            <w:tcW w:w="3329" w:type="dxa"/>
          </w:tcPr>
          <w:p w:rsidR="002F4BB6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расходы по праву пользования на: </w:t>
            </w:r>
          </w:p>
          <w:p w:rsidR="002F4BB6" w:rsidRDefault="002F4BB6" w:rsidP="002F4BB6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амортизацию актива; </w:t>
            </w:r>
          </w:p>
          <w:p w:rsidR="002F4BB6" w:rsidRPr="00D56065" w:rsidRDefault="002F4BB6" w:rsidP="002F4BB6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проценты по остатку обязательства</w:t>
            </w:r>
          </w:p>
        </w:tc>
        <w:tc>
          <w:tcPr>
            <w:tcW w:w="4678" w:type="dxa"/>
          </w:tcPr>
          <w:p w:rsidR="002F4BB6" w:rsidRDefault="002F4BB6" w:rsidP="002F4BB6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доход по дебиторской задолженности; </w:t>
            </w:r>
          </w:p>
          <w:p w:rsidR="002F4BB6" w:rsidRPr="00D56065" w:rsidRDefault="002F4BB6" w:rsidP="002F4BB6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снижение дебиторской задолженности на сумму полученных арендных платежей</w:t>
            </w:r>
          </w:p>
        </w:tc>
        <w:tc>
          <w:tcPr>
            <w:tcW w:w="4394" w:type="dxa"/>
          </w:tcPr>
          <w:p w:rsidR="002F4BB6" w:rsidRPr="00D56065" w:rsidRDefault="002F4BB6" w:rsidP="00A16E1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признает доход равномерно в период всего срока аренды</w:t>
            </w:r>
          </w:p>
        </w:tc>
      </w:tr>
    </w:tbl>
    <w:p w:rsidR="002F4BB6" w:rsidRPr="002F4BB6" w:rsidRDefault="002F4BB6" w:rsidP="002F4BB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новому стандарту арендатор признает предмет аренды следующим образом:</w:t>
      </w:r>
    </w:p>
    <w:p w:rsidR="002F4BB6" w:rsidRPr="002F4BB6" w:rsidRDefault="002F4BB6" w:rsidP="002F4BB6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2F4BB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7D9731" wp14:editId="221E15EF">
            <wp:extent cx="9001125" cy="2038350"/>
            <wp:effectExtent l="0" t="0" r="9525" b="0"/>
            <wp:docPr id="1" name="Рисунок 1" descr="https://nalog-nalog.ru/files/editor/images/0122/11/NN-pic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log-nalog.ru/files/editor/images/0122/11/NN-pic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59" w:rsidRPr="00D56065" w:rsidRDefault="006C5859" w:rsidP="006C5859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Новые понятия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6C5859" w:rsidRPr="00D56065" w:rsidTr="0018634F">
        <w:tc>
          <w:tcPr>
            <w:tcW w:w="7083" w:type="dxa"/>
          </w:tcPr>
          <w:p w:rsidR="006C5859" w:rsidRPr="00D56065" w:rsidRDefault="006C5859" w:rsidP="006C5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Право пользования активом - ППА</w:t>
            </w:r>
          </w:p>
        </w:tc>
        <w:tc>
          <w:tcPr>
            <w:tcW w:w="8305" w:type="dxa"/>
          </w:tcPr>
          <w:p w:rsidR="006C5859" w:rsidRPr="00D56065" w:rsidRDefault="006C5859" w:rsidP="006C5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Обязательство по аренде - ОА</w:t>
            </w:r>
          </w:p>
        </w:tc>
      </w:tr>
      <w:tr w:rsidR="006C5859" w:rsidRPr="00D56065" w:rsidTr="0018634F">
        <w:tc>
          <w:tcPr>
            <w:tcW w:w="7083" w:type="dxa"/>
          </w:tcPr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Арендодатель передает актив арендатору, а тот в свою очередь признает данный актив (предмет аренды) в качестве Права пользования активом (ППА), одновременно с признанием ППА происходит признание обязательств по аренде.</w:t>
            </w:r>
          </w:p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ППА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это новый объект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учета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ППА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признают по фактической стоимости. Она включает размер обязательства по аренде, расходы на доставку, подготовку объекта и пр. (п. 13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ФСБУ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25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2018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6C5859" w:rsidRPr="00D56065" w:rsidRDefault="006C5859" w:rsidP="006C585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C5859" w:rsidRPr="00D56065" w:rsidRDefault="006C5859" w:rsidP="006C585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 пользования списывают через амортизацию так же, как сходные по использованию собственные активы компании (п. 10, 17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ФСБУ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25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2018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6C5859" w:rsidRPr="00D56065" w:rsidRDefault="006C5859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05" w:type="dxa"/>
          </w:tcPr>
          <w:p w:rsidR="006C5859" w:rsidRPr="00D56065" w:rsidRDefault="006C5859" w:rsidP="0042528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Обязательство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это стоимостная оценка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обязательства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560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аренде</w:t>
            </w:r>
            <w:r w:rsidRPr="00D56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5859" w:rsidRPr="00D56065" w:rsidRDefault="006C5859" w:rsidP="0042528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F4BB6" w:rsidRDefault="006C5859" w:rsidP="002F4BB6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F4BB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принятия к </w:t>
            </w:r>
            <w:r w:rsidR="002F4BB6" w:rsidRPr="002F4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BB6">
              <w:rPr>
                <w:rFonts w:ascii="Times New Roman" w:hAnsi="Times New Roman" w:cs="Times New Roman"/>
                <w:sz w:val="24"/>
                <w:szCs w:val="24"/>
              </w:rPr>
              <w:t>чету величина обязательства по аренде увеличивается на начисляемые проценты и уменьшаются на уплаченные арендные платежи.</w:t>
            </w:r>
            <w:r w:rsidR="002F4B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23238" w:rsidRPr="00C23238" w:rsidRDefault="00C23238" w:rsidP="00C23238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Начисляемые проценты равны произведению обязательств по аренде на начало периода, за который начисляются проценты, и ставки дисконтирования аренды.</w:t>
            </w:r>
          </w:p>
          <w:p w:rsidR="00C23238" w:rsidRDefault="00C23238" w:rsidP="002F4BB6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8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Если ставка дисконтирования аренды не может быть определена описанным выше образом, то применяют ту ставку, по которой можно было бы привлечь заемные средства на срок, равный сроку аренды</w:t>
            </w:r>
          </w:p>
          <w:p w:rsidR="006C5859" w:rsidRDefault="002F4BB6" w:rsidP="002F4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E1B907F" wp14:editId="4283222B">
                  <wp:extent cx="4548381" cy="221170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809" cy="22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634F" w:rsidRDefault="0018634F" w:rsidP="002F4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4F" w:rsidRPr="0018634F" w:rsidRDefault="0018634F" w:rsidP="002F4BB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Дисконтирование позволяет определить сегодняшнюю стоимость каждого арендного платежа, учитывая, что его стоимость в будущем известна (например, в соответствии с условиями договора аренды арендная плата в размере 100 000 руб. уплачивается ежемесячно). </w:t>
            </w:r>
          </w:p>
          <w:p w:rsidR="0018634F" w:rsidRPr="0018634F" w:rsidRDefault="0018634F" w:rsidP="002F4BB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634F" w:rsidRPr="0018634F" w:rsidRDefault="0018634F" w:rsidP="002F4BB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Определяется приведенная стоимость будущих арендных платежей, при этом каждый платеж дисконтируется отдельно, например, с применением таблиц </w:t>
            </w:r>
            <w:proofErr w:type="spellStart"/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Excel</w:t>
            </w:r>
            <w:proofErr w:type="spellEnd"/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по формуле: будущая стоимость х коэффициент дисконтирования.</w:t>
            </w:r>
          </w:p>
          <w:p w:rsidR="0018634F" w:rsidRPr="0018634F" w:rsidRDefault="0018634F" w:rsidP="002F4BB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Коэффициент дисконтирования 1/(1+</w:t>
            </w:r>
            <w:proofErr w:type="gramStart"/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R)</w:t>
            </w:r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n</w:t>
            </w:r>
            <w:proofErr w:type="gramEnd"/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как видно из самой формулы, зависит от ставки процента дисконтирования (R) и количества периодов времени (n)*(3). </w:t>
            </w:r>
          </w:p>
          <w:p w:rsidR="0018634F" w:rsidRPr="0018634F" w:rsidRDefault="0018634F" w:rsidP="002F4BB6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8634F" w:rsidRPr="002F4BB6" w:rsidRDefault="0018634F" w:rsidP="001863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Поэтому если в формуле расчета коэффициента дисконтирования применяется ставка дисконтирования годовая, то число периодов (n) также берется годовое. Например, при расчете приведенной стоимости на конец 2021 года арендного платежа, уплачиваемого в 2023 году, коэффициент дисконтирования рассчитывается с применением значения n = 2.</w:t>
            </w:r>
          </w:p>
        </w:tc>
      </w:tr>
    </w:tbl>
    <w:p w:rsidR="006C5859" w:rsidRPr="00D56065" w:rsidRDefault="006C5859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91401" w:rsidRPr="00D56065" w:rsidRDefault="00691401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91401" w:rsidRPr="00D56065" w:rsidRDefault="00691401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Проводки</w:t>
      </w:r>
      <w:r w:rsidR="00425283"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арендатор</w:t>
      </w:r>
    </w:p>
    <w:p w:rsidR="00691401" w:rsidRPr="00D56065" w:rsidRDefault="00691401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9156"/>
      </w:tblGrid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первоначальной оценки обязательств по договору аренды включается в первоначальную стоимость актива в форме права пользования и отражается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60807 "Вложения в приобретение активов в форме права пользования"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9" w:anchor="block_608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60806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"Арендные обязательства".</w:t>
            </w:r>
          </w:p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Арендные платежи, уплаченные авансом до даты начала аренды, включаются в первоначальную стоимость актива </w:t>
            </w: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форме права пользования и отражаются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Дебет счета N 60807 "Вложения в приобретение активов в форме права пользования"</w:t>
            </w:r>
          </w:p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Кредит счета N </w:t>
            </w:r>
            <w:hyperlink r:id="rId10" w:anchor="block_6031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11" w:anchor="block_6031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Первоначальные прямые затраты, понесенные арендатором в связи с заключением договора аренды, включаются в первоначальную стоимость актива в форме права пользования и отражаются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60807 "Вложения в приобретение активов в форме права пользования"</w:t>
            </w:r>
          </w:p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12" w:anchor="block_6031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13" w:anchor="block_6031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эксплуатацию актива в форме права пользования отражается бухгалтерской записью: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Единицей бухгалтерского учета актива в форме права пользования является инвентарный объект.</w:t>
            </w:r>
          </w:p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Каждому инвентарному объекту активов в форме права пользования при признании присваивается инвентарный номер.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14" w:anchor="block_6080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60804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"Имущество, полученное в финансовую аренду"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60807 "Вложения в приобретение активов в форме права пользования".</w:t>
            </w:r>
          </w:p>
          <w:p w:rsidR="00691401" w:rsidRPr="00D56065" w:rsidRDefault="00691401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Начисление амортизации по активу в форме права пользования арендатор, принявший решение о применении </w:t>
            </w:r>
            <w:hyperlink r:id="rId15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Положения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Банка России N 612-П, должен отражать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16" w:anchor="block_718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71802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"Расходы, связанные с обеспечением деятельности" по символу </w:t>
            </w:r>
            <w:hyperlink r:id="rId17" w:anchor="block_2553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55302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"Амортизация по активам в форме права пользования" ОФР в соответствии с приложением 2 к Положению Банка России N 612-П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18" w:anchor="block_60805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60805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"Амортизация основных средств, полученных в финансовую аренду".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последнего дня месяца и в установленные договором аренды даты уплаты арендных платежей процентные расходы, начисленные за истекший месяц либо за период с даты уплаты предыдущего </w:t>
            </w:r>
            <w:proofErr w:type="gram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арендного </w:t>
            </w:r>
            <w:r w:rsidR="00E45A8C"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платежа</w:t>
            </w:r>
            <w:proofErr w:type="gram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отражаются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19" w:anchor="block_711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71101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"Процентные расходы" (в ОФР по символам раздела 4 "Процентные расходы" части 4 "Расходы по операциям с финансовыми инструментами и драгоценными металлами")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20" w:anchor="block_608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60806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"Арендные обязательства".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дату уплаты текущего арендного платежа кредиторская задолженность по текущему арендному платежу отражается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21" w:anchor="block_608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60806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"Арендные обязательства"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22" w:anchor="block_6031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23" w:anchor="block_60313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60313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текущего арендного платежа отражается бухгалтерской записью: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24" w:anchor="block_6031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25" w:anchor="block_60313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60313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26" w:anchor="block_205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20501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"Расчетные счета в кредитных организациях" или счета N </w:t>
            </w:r>
            <w:hyperlink r:id="rId27" w:anchor="block_205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20502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"Расчетные счета в банках-нерезидентах" (далее - счета по учету денежных средств).</w:t>
            </w:r>
          </w:p>
        </w:tc>
      </w:tr>
      <w:tr w:rsidR="0099464D" w:rsidRPr="00D56065" w:rsidTr="00425283">
        <w:tc>
          <w:tcPr>
            <w:tcW w:w="6232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актив классифицируется для целей бухгалтерского учета договоров аренды в качестве актива с низкой стоимостью в соответствии с </w:t>
            </w:r>
            <w:hyperlink r:id="rId28" w:anchor="block_2005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В5 - В8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МСФО (IFRS) 16.</w:t>
            </w:r>
            <w:r w:rsidR="00A77B0E"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77B0E" w:rsidRPr="00D56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 есть для краткосрочной аренды)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о неприменении требований, предусмотренных </w:t>
            </w:r>
            <w:hyperlink r:id="rId29" w:anchor="block_2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2.1-2.11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настоящего Положения, для краткосрочной аренды и (или) аренды, в которой базовый актив имеет низкую стоимость, принимается арендатором.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Арендные платежи по краткосрочной аренде либо аренде, в которой базовый актив имеет низкую стоимость, признаются в качестве расхода в течение срока аренды.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классификации аренды в качестве краткосрочной арендатором учитывается планируемый срок аренды.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чем на последний календарный день каждого месяца расходы, начисленные за истекший месяц, отражаются бухгалтерской записью:</w:t>
            </w:r>
          </w:p>
        </w:tc>
        <w:tc>
          <w:tcPr>
            <w:tcW w:w="9156" w:type="dxa"/>
          </w:tcPr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Стоимость базовых активов, полученных в краткосрочную аренду, а также базовых активов, имеющих низкую стоимость, учитывается на </w:t>
            </w:r>
            <w:proofErr w:type="spell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внебалансовых</w:t>
            </w:r>
            <w:proofErr w:type="spell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счетах N </w:t>
            </w:r>
            <w:hyperlink r:id="rId30" w:anchor="block_91507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91507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полученные по договорам аренды" и N </w:t>
            </w:r>
            <w:hyperlink r:id="rId31" w:anchor="block_91508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91508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полученное по договорам аренды" и отражается бухгалтерской записью: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32" w:anchor="block_99998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99998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"Счет для корреспонденции с пассивными счетами при двойной записи"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Кредит счета N </w:t>
            </w:r>
            <w:hyperlink r:id="rId33" w:anchor="block_91507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91507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полученные по договорам аренды" или счета N </w:t>
            </w:r>
            <w:hyperlink r:id="rId34" w:anchor="block_91508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91508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полученное по договорам аренды".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35" w:anchor="block_718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71802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"Расходы, связанные с обеспечением деятельности" (в ОФР по символу 55401 "Арендная плата по краткосрочной аренде и аренде активов, имеющих низкую стоимость")</w:t>
            </w:r>
          </w:p>
          <w:p w:rsidR="00691401" w:rsidRPr="00D56065" w:rsidRDefault="00691401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36" w:anchor="block_6031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37" w:anchor="block_6031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</w:tc>
      </w:tr>
    </w:tbl>
    <w:p w:rsidR="00691401" w:rsidRPr="00D56065" w:rsidRDefault="00691401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91401" w:rsidRPr="00D56065" w:rsidRDefault="00691401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91401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Проводки – арендодатель – операционная аренда</w:t>
      </w: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7B70" w:rsidRPr="00D56065" w:rsidRDefault="008A7B70" w:rsidP="004252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Отражение на счетах бухгалтерского учета договоров аренды инвестиционного имущества, классифицируемых как операционная аренда, арендодатель должен осуществлять в соответствии с требованиями </w:t>
      </w:r>
      <w:hyperlink r:id="rId38" w:anchor="block_4" w:history="1">
        <w:r w:rsidRPr="00D5606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главы 4</w:t>
        </w:r>
      </w:hyperlink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Положения Банка России от 22 сентября 2015 года N 492-П "Отраслевой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имущество, в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некредитных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финансовых организациях", зарегистрированного Министерством юстиции Российской Федерации 15 октября 2015 года N 39335, 21 декабря 2016 года N 44851,17 июня 2019 года N 54944, 25 ноября 2019 года N 56612, за исключением арендодателя, принявшего решение о применении </w:t>
      </w:r>
      <w:hyperlink r:id="rId39" w:history="1">
        <w:r w:rsidRPr="00D5606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 Банка России N 612-П.</w:t>
      </w:r>
    </w:p>
    <w:p w:rsidR="008A7B70" w:rsidRPr="00D56065" w:rsidRDefault="008A7B70" w:rsidP="004252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 операционной аренды признание переданного в аренду базового актива арендодателем не прекращается.</w:t>
      </w:r>
    </w:p>
    <w:p w:rsidR="008A7B70" w:rsidRPr="00D56065" w:rsidRDefault="008A7B70" w:rsidP="0042528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9464D" w:rsidRPr="00D56065" w:rsidTr="008A7B70"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Переданный в аренду базовый актив продолжает учитываться арендодателем на балансовом счете по учету имущества и одновременно учитывается на </w:t>
            </w:r>
            <w:proofErr w:type="spell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внебалансовых</w:t>
            </w:r>
            <w:proofErr w:type="spell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счетах по учету имущества, переданного в аренду, N </w:t>
            </w:r>
            <w:hyperlink r:id="rId40" w:anchor="block_915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переданные в аренду" и N </w:t>
            </w:r>
            <w:hyperlink r:id="rId41" w:anchor="block_915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переданное в аренду" бухгалтерской записью:</w:t>
            </w:r>
          </w:p>
        </w:tc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42" w:anchor="block_915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переданные в аренду" или счета N </w:t>
            </w:r>
            <w:hyperlink r:id="rId43" w:anchor="block_915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переданное в аренду"</w:t>
            </w:r>
          </w:p>
          <w:p w:rsidR="008A7B70" w:rsidRPr="00D56065" w:rsidRDefault="008A7B70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44" w:anchor="block_9999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99999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"Счет для корреспонденции с активными счетами при двойной записи".</w:t>
            </w:r>
          </w:p>
        </w:tc>
      </w:tr>
      <w:tr w:rsidR="0099464D" w:rsidRPr="00D56065" w:rsidTr="008A7B70"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арендной платы арендодателем отражается бухгалтерской записью:</w:t>
            </w:r>
          </w:p>
        </w:tc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счетов по учету денежных средств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45" w:anchor="block_6033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клиентами".</w:t>
            </w:r>
          </w:p>
          <w:p w:rsidR="008A7B70" w:rsidRPr="00D56065" w:rsidRDefault="008A7B70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Сумма арендной платы, полученная арендодателем в отчетном периоде, но относящаяся к будущим отчетным периодам, признается в качестве полученного аванса в составе кредиторской задолженности.</w:t>
            </w:r>
          </w:p>
        </w:tc>
      </w:tr>
      <w:tr w:rsidR="0099464D" w:rsidRPr="00D56065" w:rsidTr="008A7B70"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Сумма арендной платы, признаваемая арендодателем в качестве дохода на протяжении срока аренды, отражается бухгалтерской записью:</w:t>
            </w:r>
          </w:p>
        </w:tc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46" w:anchor="block_6033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47" w:anchor="block_71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"Доходы по другим операциям" (в ОФР по символу 52301 "Доходы арендодателя от сдачи имущества в операционную аренду").</w:t>
            </w:r>
          </w:p>
        </w:tc>
      </w:tr>
      <w:tr w:rsidR="0099464D" w:rsidRPr="00D56065" w:rsidTr="008A7B70">
        <w:trPr>
          <w:trHeight w:val="771"/>
        </w:trPr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Первоначальные прямые затраты, понесенные арендодателем при подготовке и заключении договора аренды, классифицируемого как операционная аренда, включаются в балансовую стоимость базового актива, и признаются в качестве расходов на протяжении срока аренды, и отражаются бухгалтерской записью:</w:t>
            </w:r>
          </w:p>
        </w:tc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по учету имущества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48" w:anchor="block_6031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60311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49" w:anchor="block_60313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60313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</w:tc>
      </w:tr>
      <w:tr w:rsidR="0099464D" w:rsidRPr="00D56065" w:rsidTr="00FF07E5">
        <w:tc>
          <w:tcPr>
            <w:tcW w:w="15388" w:type="dxa"/>
            <w:gridSpan w:val="2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Затраты, связанные с получением дохода от аренды, включая расходы на амортизацию, признаются арендодателем в составе текущих расходов.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Начисление амортизации по базовому активу осуществляется в соответствии со способом, установленным арендодателем для аналогичных активов в учетной политике.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актив, являющийся предметом аренды, проверяется на обесценение на конец каждого отчетного периода в соответствии с </w:t>
            </w:r>
            <w:hyperlink r:id="rId50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МСФО (IAS) 36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464D" w:rsidRPr="00D56065" w:rsidTr="008A7B70"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получении после окончания договора аренды переданного в аренду базового актива списание стоимости такого базового актива с </w:t>
            </w:r>
            <w:proofErr w:type="spell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внебалансовых</w:t>
            </w:r>
            <w:proofErr w:type="spell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счетов N </w:t>
            </w:r>
            <w:hyperlink r:id="rId51" w:anchor="block_915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переданные в аренду" и N </w:t>
            </w:r>
            <w:hyperlink r:id="rId52" w:anchor="block_915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переданное в аренду" отражается бухгалтерской записью:</w:t>
            </w:r>
          </w:p>
        </w:tc>
        <w:tc>
          <w:tcPr>
            <w:tcW w:w="7694" w:type="dxa"/>
          </w:tcPr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53" w:anchor="block_9999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99999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"Счет для корреспонденции с активными счетами при двойной записи"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54" w:anchor="block_915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"Основные средства, переданные в аренду" или счета N </w:t>
            </w:r>
            <w:hyperlink r:id="rId55" w:anchor="block_9150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"Другое имущество, переданное в аренду".</w:t>
            </w:r>
          </w:p>
          <w:p w:rsidR="008A7B70" w:rsidRPr="00D56065" w:rsidRDefault="008A7B70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Проводки – арендодатель – финансовая аренда</w:t>
      </w: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7B70" w:rsidRPr="00D56065" w:rsidRDefault="008A7B70" w:rsidP="004252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На дату начала аренды базовые активы, находящиеся в финансовой аренде, признаются арендодателем и отражаются в бухгалтерском учете в качестве дебиторской задолженности в сумме, равной чистой инвестиции в аренду.</w:t>
      </w:r>
    </w:p>
    <w:p w:rsidR="008A7B70" w:rsidRPr="00D56065" w:rsidRDefault="008A7B70" w:rsidP="004252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Процентная ставка, предусмотренная в договоре аренды, используется арендодателем для оценки чистой инвестиции в аренду. В случае субаренды, если процентная ставка, предусмотренная в договоре субаренды, не может быть определена, арендодателем по договору субаренды используется ставка дисконтирования, предусмотренная в основном договоре аренды (скорректированная с учетом первоначальных прямых затрат, связанных с субарендой), для оценки чистой инвестиции в субаренду. Первоначальные прямые затраты включаются арендодателем в первоначальную оценку чистой инвестиции в аренду и уменьшают сумму дохода, признаваемого на протяжении срока аренды. Процентная ставка, предусмотренная в договоре аренды, определяется так, чтобы первоначальные прямые затраты включались в чистую инвестицию в аренду.</w:t>
      </w:r>
    </w:p>
    <w:p w:rsidR="008A7B70" w:rsidRPr="00D56065" w:rsidRDefault="008A7B70" w:rsidP="0042528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Платежи за право пользования базовым активом в течение срока аренды, которые не получены на дату начала аренды, включаются арендодателем в оценку чистой инвестиции в аренду в соответствии с </w:t>
      </w:r>
      <w:hyperlink r:id="rId56" w:anchor="block_27" w:history="1">
        <w:r w:rsidRPr="00D5606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пунктом 27</w:t>
        </w:r>
      </w:hyperlink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 МСФО (IFRS) 16.</w:t>
      </w:r>
    </w:p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9464D" w:rsidRPr="00D56065" w:rsidTr="008A7B70"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начала финансовой аренды прекращение признания базового актива отражается бухгалтерской записью: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 базовому активу до передачи арендатору начислялась амортизация, списание суммы накопленной амортизации на дату передачи базового актива отражается бухгалтерской записью: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актив, переданный арендатору, отражается на </w:t>
            </w:r>
            <w:proofErr w:type="spell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внебалансовом</w:t>
            </w:r>
            <w:proofErr w:type="spell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счете по учету имущества, переданного на баланс арендатора, N </w:t>
            </w:r>
            <w:hyperlink r:id="rId57" w:anchor="block_915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"Имущество, переданное в финансовую аренду" бухгалтерской записью: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первоначальных прямых затрат в первоначальную оценку чистой инвестиции в аренду отражается бухгалтерской записью: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Арендные платежи, полученные авансом до даты начала аренды, уменьшают первоначальную оценку чистой инвестиции в аренду и отражаются бухгалтерской записью:</w:t>
            </w:r>
          </w:p>
          <w:p w:rsidR="008A7B70" w:rsidRPr="00D56065" w:rsidRDefault="00BA79A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дебиторской задолженности по финансовой аренде в сумме, равной первоначальной оценке чистой инвестиции в аренду, отражается бухгалтерской записью:</w:t>
            </w:r>
          </w:p>
        </w:tc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58" w:anchor="block_612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61209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"Выбытие (реализация) имущества"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счета, на котором учитывался базовый актив до передачи арендатору по договору аренды.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59" w:anchor="block_6041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60414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"Амортизация основных средств (кроме земли)" или счета N </w:t>
            </w:r>
            <w:hyperlink r:id="rId60" w:anchor="block_619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61909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"Амортизация инвестиционного имущества (кроме земли)"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61" w:anchor="block_612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61209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"Выбытие (реализация) имущества".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62" w:anchor="block_915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"Имущество, переданное в финансовую аренду"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63" w:anchor="block_9999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99999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"Счет для корреспонденции с активными счетами при двойной записи".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64" w:anchor="block_612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61209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"Выбытие (реализация) имущества"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65" w:anchor="block_6031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поставщиками и подрядчиками" или счета N </w:t>
            </w:r>
            <w:hyperlink r:id="rId66" w:anchor="block_60314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60314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организациями-нерезидентами по хозяйственным операциям".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67" w:anchor="block_6033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68" w:anchor="block_612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61209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"Выбытие (реализация) имущества".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69" w:anchor="block_47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"Вложения в операции финансовой аренды"</w:t>
            </w:r>
          </w:p>
          <w:p w:rsidR="008A7B70" w:rsidRPr="00D56065" w:rsidRDefault="00BA79A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0" w:anchor="block_6120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61209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"Выбытие (реализация) имущества".</w:t>
            </w:r>
          </w:p>
        </w:tc>
      </w:tr>
      <w:tr w:rsidR="0099464D" w:rsidRPr="00D56065" w:rsidTr="008A7B70"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Процентный доход по договору аренды признается арендодателем в течение срока аренды на основе графика, отражающего неизменную периодическую норму доходности по чистой инвестиции арендодателя в аренду.</w:t>
            </w:r>
          </w:p>
          <w:p w:rsidR="008A7B70" w:rsidRPr="00D56065" w:rsidRDefault="00BA79A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последнего дня месяца и в установленные договором аренды даты уплаты арендных платежей процентные доходы, начисленные за истекший месяц либо за период с даты получения предыдущего арендного платежа, отражаются бухгалтерской записью:</w:t>
            </w:r>
          </w:p>
        </w:tc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71" w:anchor="block_47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"Вложения в операции финансовой аренды"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2" w:anchor="block_710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71001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"Процентные доходы" (в ОФР по символам раздела 1 "Процентные доходы" части 3 "Доходы от операций с финансовыми инструментами и драгоценными металлами").</w:t>
            </w:r>
          </w:p>
          <w:p w:rsidR="008A7B70" w:rsidRPr="00D56065" w:rsidRDefault="008A7B70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9464D" w:rsidRPr="00D56065" w:rsidTr="008A7B70">
        <w:tc>
          <w:tcPr>
            <w:tcW w:w="7694" w:type="dxa"/>
          </w:tcPr>
          <w:p w:rsidR="008A7B70" w:rsidRPr="00D56065" w:rsidRDefault="00BA79A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Дебиторская задолженность по арендному платежу отражается бухгалтерской записью:</w:t>
            </w:r>
          </w:p>
        </w:tc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73" w:anchor="block_6033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</w:t>
            </w:r>
          </w:p>
          <w:p w:rsidR="008A7B70" w:rsidRPr="00D56065" w:rsidRDefault="00BA79A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4" w:anchor="block_47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"Вложения в операции финансовой аренды".</w:t>
            </w:r>
          </w:p>
        </w:tc>
      </w:tr>
      <w:tr w:rsidR="0099464D" w:rsidRPr="00D56065" w:rsidTr="008A7B70"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Поступление периодического арендного платежа отражается бухгалтерской записью:</w:t>
            </w:r>
          </w:p>
        </w:tc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счетов по учету денежных средств</w:t>
            </w: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5" w:anchor="block_6033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клиентами".</w:t>
            </w:r>
          </w:p>
        </w:tc>
      </w:tr>
      <w:tr w:rsidR="0099464D" w:rsidRPr="00D56065" w:rsidTr="008A7B70">
        <w:tc>
          <w:tcPr>
            <w:tcW w:w="7694" w:type="dxa"/>
          </w:tcPr>
          <w:p w:rsidR="00BA79A5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остатка на счете N </w:t>
            </w:r>
            <w:hyperlink r:id="rId76" w:anchor="block_47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"Вложения в операции финансовой аренды" в сумме выкупной цены, подлежащей получению, или гарантированной ликвидационной стоимости по окончании договора финансовой аренды прекращение признания договора финансовой аренды отражается бухгалтерской записью:</w:t>
            </w:r>
          </w:p>
        </w:tc>
        <w:tc>
          <w:tcPr>
            <w:tcW w:w="7694" w:type="dxa"/>
          </w:tcPr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77" w:anchor="block_6033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</w:t>
            </w:r>
          </w:p>
          <w:p w:rsidR="005D7E02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8" w:anchor="block_47701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47701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"Вложения в операции финансовой аренды".</w:t>
            </w:r>
          </w:p>
          <w:p w:rsidR="005D7E02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9A5" w:rsidRPr="00D56065" w:rsidRDefault="00BA79A5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64D" w:rsidRPr="00D56065" w:rsidTr="008A7B70">
        <w:tc>
          <w:tcPr>
            <w:tcW w:w="7694" w:type="dxa"/>
          </w:tcPr>
          <w:p w:rsidR="00BA79A5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денежных средств отражается бухгалтерской записью:</w:t>
            </w:r>
          </w:p>
        </w:tc>
        <w:tc>
          <w:tcPr>
            <w:tcW w:w="7694" w:type="dxa"/>
          </w:tcPr>
          <w:p w:rsidR="005D7E02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счетов по учету денежных средств</w:t>
            </w:r>
          </w:p>
          <w:p w:rsidR="00BA79A5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79" w:anchor="block_60332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60332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"Расчеты с покупателями и клиентами".</w:t>
            </w:r>
          </w:p>
        </w:tc>
      </w:tr>
      <w:tr w:rsidR="0099464D" w:rsidRPr="00D56065" w:rsidTr="008A7B70">
        <w:tc>
          <w:tcPr>
            <w:tcW w:w="7694" w:type="dxa"/>
          </w:tcPr>
          <w:p w:rsidR="005D7E02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Списание стоимости базового актива с </w:t>
            </w:r>
            <w:proofErr w:type="spellStart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внебалансового</w:t>
            </w:r>
            <w:proofErr w:type="spellEnd"/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счета N </w:t>
            </w:r>
            <w:hyperlink r:id="rId80" w:anchor="block_915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"Имущество, переданное в финансовую аренду" отражается бухгалтерской записью:</w:t>
            </w:r>
          </w:p>
        </w:tc>
        <w:tc>
          <w:tcPr>
            <w:tcW w:w="7694" w:type="dxa"/>
          </w:tcPr>
          <w:p w:rsidR="005D7E02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Дебет счета N </w:t>
            </w:r>
            <w:hyperlink r:id="rId81" w:anchor="block_99999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99999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"Счет для корреспонденции с активными счетами при двойной записи"</w:t>
            </w:r>
          </w:p>
          <w:p w:rsidR="005D7E02" w:rsidRPr="00D56065" w:rsidRDefault="005D7E02" w:rsidP="0042528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счета N </w:t>
            </w:r>
            <w:hyperlink r:id="rId82" w:anchor="block_91506" w:history="1">
              <w:r w:rsidRPr="00D5606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91506</w:t>
              </w:r>
            </w:hyperlink>
            <w:r w:rsidRPr="00D56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"Имущество, переданное в финансовую аренду".</w:t>
            </w:r>
          </w:p>
        </w:tc>
      </w:tr>
    </w:tbl>
    <w:p w:rsidR="008A7B70" w:rsidRPr="00D56065" w:rsidRDefault="008A7B70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2C9" w:rsidRPr="00D56065" w:rsidRDefault="007202C9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2C9" w:rsidRPr="00C23238" w:rsidRDefault="007202C9" w:rsidP="00425283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23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Переход на МСФО 16</w:t>
      </w:r>
    </w:p>
    <w:p w:rsidR="007202C9" w:rsidRPr="00D56065" w:rsidRDefault="007202C9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МСФО (IFRS) 16</w:t>
      </w:r>
      <w:r w:rsidR="00C23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- дата вступления в силу и ретроспективное применение</w:t>
      </w:r>
      <w:r w:rsidR="00C23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позиция арендатора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должна применять стандарт IFRS 16 в отношении годовых периодов, начинающихся 1 января 2022 года и после этой даты.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должен применять настоящий стандарт в отношении своих договоров аренды: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A77B0E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либо ретроспективно в отношении каждого предыдущего отчетного периода, представленного с применением МСФО (IAS) 8 «Учетная политика, изменения в бухгалтерских оценках и ошибки». Т.н. «</w:t>
      </w:r>
      <w:r w:rsidRPr="00D560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полный ретроспективный подход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A77B0E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либо ретроспективно с суммарным эффектом первоначального применения стандарта, признанным на дату первоначального применения. Т.н. «</w:t>
      </w:r>
      <w:r w:rsidRPr="00D560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модифицированный ретроспективный подход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Выбранный способ (</w:t>
      </w:r>
      <w:proofErr w:type="gram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gram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либо b) применяется арендатором последовательно для всех своих договоров аренды, по которым он является арендатором.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35" w:rsidRPr="00D56065" w:rsidRDefault="00F92135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МСФО (IFRS) 16</w:t>
      </w:r>
      <w:r w:rsidR="00C23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- модифицированный ретроспективный подход</w:t>
      </w:r>
    </w:p>
    <w:p w:rsidR="00F92135" w:rsidRPr="00D56065" w:rsidRDefault="00F92135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Модифицированный ретроспективный подход </w:t>
      </w:r>
      <w:r w:rsidRPr="00C232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требует пересчета и представления сравнительной информации в переходный период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2135" w:rsidRPr="00D56065" w:rsidRDefault="00F92135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• Вместо этого кумулятивное влияние применения МСФО (IFRS) 16 учитывается как корректировка капитала на дату первоначального применения стандарта (т.е. на дату начала текущего отчетного периода, в котором стандарт впервые применяется).</w:t>
      </w:r>
    </w:p>
    <w:p w:rsidR="00F92135" w:rsidRPr="00D56065" w:rsidRDefault="00F92135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ЦБ ниже рекомендует вариант (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) – см. письмо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ВОПРОС - В соответствии с требованиями пунктов 14 и 15 Положения по бухгалтерскому учету «Учетная политика организации» ПБУ 1/2008 последствия изменения учетной политики, вызванного изменением нормативных правовых актов по бухгалтерскому учету, отражаются в порядке, установленном соответствующим нормативным правовым актом, а если порядок не установлен, то ретроспективно. Просим пояснить, вправе ли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некредитная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финансовая организация (далее — НФО) применять переходные положения, предусмотренные приложением С «Дата вступления в силу и переходные положения» МСФО (IFRS) 16 «Аренда» (далее — МСФО (IFRS) 16), и отражать суммарный эффект первоначального применения Положения Банка России № 635-П в качестве корректировки вступительной нераспределенной прибыли (или другого компонента собственного капитала) на дату первоначального применения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- При применении Положения Банка России № 635-П НФО руководствуются Международными стандартами финансовой отчетности (далее — МСФО) и Разъяснениями МСФО, принимаемыми Фондом МСФО, введенными в действие на территории Российской Федерации. 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C7 МСФО (IFRS) 16, если арендатор принимает решение о применении указанного стандарта в соответствии с пунктом C5(b), арендатор не должен пересчитывать сравнительную информацию. Вместо этого арендатор должен признать суммарный эффект первоначального применения МСФО (IFRS) 16 в качестве корректировки вступительной нераспределенной прибыли (или другого компонента собственного капитала) на дату первоначального применения.</w:t>
      </w:r>
    </w:p>
    <w:p w:rsidR="007202C9" w:rsidRPr="00D56065" w:rsidRDefault="007202C9" w:rsidP="0042528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C04" w:rsidRPr="00D56065" w:rsidRDefault="00870C04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B1648" w:rsidRPr="00D56065" w:rsidRDefault="009B1648" w:rsidP="009B1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B1648" w:rsidRPr="00D56065" w:rsidRDefault="009B1648" w:rsidP="009B16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п. 7 Рекомендации Р-97/2018-КпР "Первое применение ФСБУ 25"</w:t>
      </w: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гласит:</w:t>
      </w:r>
    </w:p>
    <w:p w:rsidR="009B1648" w:rsidRPr="00D56065" w:rsidRDefault="009B1648" w:rsidP="009B16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Арендатор принимает решение о применении либо неприменении им упрощенного порядка признания и оценки права пользования активом и обязательства по аренде в отношении договоров, действующих на дату начала применения </w:t>
      </w:r>
      <w:hyperlink r:id="rId83" w:anchor="l2" w:tgtFrame="_blank" w:history="1">
        <w:r w:rsidRPr="00D56065">
          <w:rPr>
            <w:rStyle w:val="a4"/>
            <w:rFonts w:ascii="Times New Roman" w:hAnsi="Times New Roman" w:cs="Times New Roman"/>
            <w:color w:val="3072C4"/>
            <w:sz w:val="24"/>
            <w:szCs w:val="24"/>
            <w:shd w:val="clear" w:color="auto" w:fill="FFFFFF"/>
          </w:rPr>
          <w:t>Стандарта</w:t>
        </w:r>
      </w:hyperlink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1648" w:rsidRPr="00D56065" w:rsidRDefault="009B1648" w:rsidP="009B16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принятия решения о применении указанного порядка арендатор признает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единовременно на дату начала применения Стандарта право пользования активом и обязательство по аренде. </w:t>
      </w:r>
    </w:p>
    <w:p w:rsidR="009B1648" w:rsidRPr="00D56065" w:rsidRDefault="009B1648" w:rsidP="009B16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 пользования активом принимается равным его справедливой стоимости</w:t>
      </w: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обязательство по аренде - приведенной стоимости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остающихся не уплаченными арендных платежей</w:t>
      </w: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дисконтированных по ставке</w:t>
      </w: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которой арендатор привлекал или мог бы привлечь заемные средства на сопоставимых с договором аренды условиях на дату начала применения Стандарта. </w:t>
      </w:r>
    </w:p>
    <w:p w:rsidR="009B1648" w:rsidRPr="00D56065" w:rsidRDefault="009B1648" w:rsidP="009B16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исходя из условий договора переход права собственности на предмет договора в конце аренды не предполагается, то арендатор использует опровержимую презумпцию о равенстве балансовых стоимостей обязательства по аренде и права пользования активом на дату начала применения Стандарта. </w:t>
      </w:r>
    </w:p>
    <w:p w:rsidR="009B1648" w:rsidRPr="00D56065" w:rsidRDefault="009B1648" w:rsidP="009B16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исходя из условий договора предполагается получение арендатором права собственности на предмет договора в конце аренды,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 в качестве справедливой стоимости права пользования активом арендатор принимает справедливую стоимость предмета аренды на дату начала применения Стандарта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*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до применения Стандарта предмет аренды учитывался на балансе арендатора, то вместо признания актива и обязательства арендатор делает соответствующую корректировку их стоимостей. </w:t>
      </w:r>
    </w:p>
    <w:p w:rsidR="009B1648" w:rsidRPr="00D56065" w:rsidRDefault="009B1648" w:rsidP="009B16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Любые разницы, возникающие в связи с осуществлением изложенных выше процедур, относятся на нераспределенную прибыль.</w:t>
      </w: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права пользования активом и обязательства по аренде в течение отчетного года, начиная с которого применяется Стандарт, осуществляется в порядке, предусмотренном Стандартом.</w:t>
      </w:r>
    </w:p>
    <w:p w:rsidR="009B1648" w:rsidRPr="00D56065" w:rsidRDefault="009B1648" w:rsidP="009B16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648" w:rsidRPr="00D56065" w:rsidRDefault="009B1648" w:rsidP="009B164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</w:t>
      </w:r>
      <w:r w:rsidRPr="00D560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ретроспективное влияние на какие-либо другие объекты бухгалтерского учета не признается, сравнительные данные за предшествующий год не пересчитываются</w:t>
      </w:r>
      <w:r w:rsidRPr="00D5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1648" w:rsidRPr="00D56065" w:rsidRDefault="009B1648" w:rsidP="009B16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648" w:rsidRPr="00D56065" w:rsidRDefault="009B1648" w:rsidP="009B164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*</w:t>
      </w:r>
    </w:p>
    <w:p w:rsidR="009B1648" w:rsidRPr="00D56065" w:rsidRDefault="009B1648" w:rsidP="009B16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общем случае справедливой стоимостью предмета аренды (лизинга) считается цена приобретения арендодателем (лизингодателем) предмета аренды (лизинга) у поставщика для арендатора (лизингополучателя) (п. 1 Рекомендация Р-133/2021-ОК Лизинг "Справедливая стоимость предмета лизинга").</w:t>
      </w:r>
    </w:p>
    <w:p w:rsidR="009B1648" w:rsidRPr="00D56065" w:rsidRDefault="009B1648" w:rsidP="009B16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2C9" w:rsidRPr="00D56065" w:rsidRDefault="009B1648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Рассмотрим перенос остатков на 01.01.2022 на следующем примере:</w:t>
      </w:r>
    </w:p>
    <w:p w:rsidR="009B1648" w:rsidRPr="00D56065" w:rsidRDefault="009B1648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9B1648" w:rsidRPr="00D56065" w:rsidTr="00020AAB">
        <w:tc>
          <w:tcPr>
            <w:tcW w:w="1696" w:type="dxa"/>
          </w:tcPr>
          <w:p w:rsidR="009B1648" w:rsidRPr="00D56065" w:rsidRDefault="00FF07E5" w:rsidP="00020AA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9B1648"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ата</w:t>
            </w:r>
          </w:p>
        </w:tc>
        <w:tc>
          <w:tcPr>
            <w:tcW w:w="13692" w:type="dxa"/>
          </w:tcPr>
          <w:p w:rsidR="009B1648" w:rsidRPr="00D56065" w:rsidRDefault="00FF07E5" w:rsidP="00020AA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B1648"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перация</w:t>
            </w:r>
          </w:p>
        </w:tc>
      </w:tr>
      <w:tr w:rsidR="009B1648" w:rsidRPr="00D56065" w:rsidTr="00020AAB">
        <w:tc>
          <w:tcPr>
            <w:tcW w:w="1696" w:type="dxa"/>
          </w:tcPr>
          <w:p w:rsidR="009B1648" w:rsidRPr="00D56065" w:rsidRDefault="00020AAB" w:rsidP="00020AA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11.02.2021</w:t>
            </w:r>
          </w:p>
        </w:tc>
        <w:tc>
          <w:tcPr>
            <w:tcW w:w="13692" w:type="dxa"/>
          </w:tcPr>
          <w:p w:rsidR="009B1648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Заключен договор лизинга на 18 </w:t>
            </w:r>
            <w:proofErr w:type="spellStart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мес</w:t>
            </w:r>
            <w:proofErr w:type="spellEnd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до 31.08.2022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Сумма лизинговых платежей по договору – 1 944 000 руб.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Выкупная цена – 14 400 руб.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Общая сумма по договору – 1 958 400 </w:t>
            </w:r>
            <w:proofErr w:type="spellStart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руб</w:t>
            </w:r>
            <w:proofErr w:type="spellEnd"/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Срок полезного использования – 36 месяцев</w:t>
            </w:r>
          </w:p>
        </w:tc>
      </w:tr>
      <w:tr w:rsidR="00020AAB" w:rsidRPr="00D56065" w:rsidTr="00020AAB">
        <w:tc>
          <w:tcPr>
            <w:tcW w:w="1696" w:type="dxa"/>
          </w:tcPr>
          <w:p w:rsidR="00020AAB" w:rsidRPr="00D56065" w:rsidRDefault="00020AAB" w:rsidP="00020AA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22.02.2021</w:t>
            </w:r>
          </w:p>
        </w:tc>
        <w:tc>
          <w:tcPr>
            <w:tcW w:w="13692" w:type="dxa"/>
          </w:tcPr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Оплачен авансовый платеж – 360 000 руб.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 договору график платежей: ежемесячный платеж – 108 000 руб., начиная с марта 2021 (25 числа каждого месяца), 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Аванс погашается в течение 6 месяцев по 60 000 </w:t>
            </w:r>
            <w:proofErr w:type="spellStart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мес</w:t>
            </w:r>
            <w:proofErr w:type="spellEnd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(март-август 2021), соответственно платеж будет 48 000 руб.</w:t>
            </w:r>
          </w:p>
        </w:tc>
      </w:tr>
      <w:tr w:rsidR="00020AAB" w:rsidRPr="00D56065" w:rsidTr="00020AAB">
        <w:tc>
          <w:tcPr>
            <w:tcW w:w="1696" w:type="dxa"/>
          </w:tcPr>
          <w:p w:rsidR="00020AAB" w:rsidRPr="00D56065" w:rsidRDefault="00020AAB" w:rsidP="00020AA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25.02.2021</w:t>
            </w:r>
          </w:p>
        </w:tc>
        <w:tc>
          <w:tcPr>
            <w:tcW w:w="13692" w:type="dxa"/>
          </w:tcPr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Автомобиль передан по акту-приема-передачи</w:t>
            </w:r>
          </w:p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Стоимость автомобиля (затраты лизингодателя) – 1 200 000 </w:t>
            </w:r>
            <w:proofErr w:type="spellStart"/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руб</w:t>
            </w:r>
            <w:proofErr w:type="spellEnd"/>
          </w:p>
        </w:tc>
      </w:tr>
      <w:tr w:rsidR="00020AAB" w:rsidRPr="00D56065" w:rsidTr="00020AAB">
        <w:tc>
          <w:tcPr>
            <w:tcW w:w="1696" w:type="dxa"/>
          </w:tcPr>
          <w:p w:rsidR="00020AAB" w:rsidRPr="00D56065" w:rsidRDefault="00020AAB" w:rsidP="00020AA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31.08.2022</w:t>
            </w:r>
          </w:p>
        </w:tc>
        <w:tc>
          <w:tcPr>
            <w:tcW w:w="13692" w:type="dxa"/>
          </w:tcPr>
          <w:p w:rsidR="00020AAB" w:rsidRPr="00D56065" w:rsidRDefault="00020AAB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Оплачена выкупная стоимость – 14 400 руб. Право собственности перешло к лизингополучателю</w:t>
            </w:r>
          </w:p>
        </w:tc>
      </w:tr>
    </w:tbl>
    <w:p w:rsidR="009B1648" w:rsidRPr="00D56065" w:rsidRDefault="009B1648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F07E5" w:rsidRPr="00D56065" w:rsidRDefault="00FF07E5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Этап № 1 – к договорам аренды/лизинга, по которым окончание договора выпадает на 2022 год, можно не применять требования МСФО16. Принимаем, что нами такое послабление не принято.</w:t>
      </w:r>
    </w:p>
    <w:p w:rsidR="00FF07E5" w:rsidRPr="00D56065" w:rsidRDefault="00FF07E5" w:rsidP="00FF07E5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F07E5" w:rsidRPr="00D56065" w:rsidRDefault="00FF07E5" w:rsidP="00FF07E5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F07E5" w:rsidRPr="00D56065" w:rsidTr="00FF07E5">
        <w:tc>
          <w:tcPr>
            <w:tcW w:w="7694" w:type="dxa"/>
          </w:tcPr>
          <w:p w:rsidR="00FF07E5" w:rsidRPr="00D56065" w:rsidRDefault="00FF07E5" w:rsidP="00FF07E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Остатки на 01.01.2022 по хозрасчету (БУ)</w:t>
            </w:r>
          </w:p>
        </w:tc>
        <w:tc>
          <w:tcPr>
            <w:tcW w:w="7694" w:type="dxa"/>
          </w:tcPr>
          <w:p w:rsidR="00FF07E5" w:rsidRPr="00D56065" w:rsidRDefault="00FF07E5" w:rsidP="00FF07E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Остатки на 01.01.2022 по ЕПС (которые будут после переноса) (БУ)</w:t>
            </w:r>
          </w:p>
        </w:tc>
      </w:tr>
      <w:tr w:rsidR="00FF07E5" w:rsidRPr="00D56065" w:rsidTr="00FF07E5">
        <w:tc>
          <w:tcPr>
            <w:tcW w:w="7694" w:type="dxa"/>
          </w:tcPr>
          <w:p w:rsidR="00FF07E5" w:rsidRPr="00D56065" w:rsidRDefault="00FF07E5" w:rsidP="00FF07E5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1 944 000 + 14 400 = 1 958 400 </w:t>
            </w:r>
          </w:p>
        </w:tc>
        <w:tc>
          <w:tcPr>
            <w:tcW w:w="7694" w:type="dxa"/>
          </w:tcPr>
          <w:p w:rsidR="00FF07E5" w:rsidRPr="00D56065" w:rsidRDefault="00FF07E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60804 – 1 200 000</w:t>
            </w:r>
          </w:p>
        </w:tc>
      </w:tr>
      <w:tr w:rsidR="00FF07E5" w:rsidRPr="00D56065" w:rsidTr="00FF07E5">
        <w:tc>
          <w:tcPr>
            <w:tcW w:w="7694" w:type="dxa"/>
          </w:tcPr>
          <w:p w:rsidR="00FF07E5" w:rsidRPr="00D56065" w:rsidRDefault="00FF07E5" w:rsidP="00FF07E5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324 000</w:t>
            </w:r>
          </w:p>
        </w:tc>
        <w:tc>
          <w:tcPr>
            <w:tcW w:w="7694" w:type="dxa"/>
          </w:tcPr>
          <w:p w:rsidR="00FF07E5" w:rsidRPr="00D56065" w:rsidRDefault="00FF07E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60805 – 200 000</w:t>
            </w:r>
          </w:p>
        </w:tc>
      </w:tr>
      <w:tr w:rsidR="00FF07E5" w:rsidRPr="00D56065" w:rsidTr="00FF07E5">
        <w:tc>
          <w:tcPr>
            <w:tcW w:w="7694" w:type="dxa"/>
          </w:tcPr>
          <w:p w:rsidR="00FF07E5" w:rsidRPr="00D56065" w:rsidRDefault="00FF07E5" w:rsidP="00FF07E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76.07 – 1 238 400</w:t>
            </w:r>
          </w:p>
        </w:tc>
        <w:tc>
          <w:tcPr>
            <w:tcW w:w="7694" w:type="dxa"/>
          </w:tcPr>
          <w:p w:rsidR="00FF07E5" w:rsidRPr="00D56065" w:rsidRDefault="00FF07E5" w:rsidP="0042528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60806 – 673 577,46</w:t>
            </w:r>
          </w:p>
        </w:tc>
      </w:tr>
    </w:tbl>
    <w:p w:rsidR="00FF07E5" w:rsidRPr="00D56065" w:rsidRDefault="00FF07E5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F07E5" w:rsidRPr="00D56065" w:rsidRDefault="00FF07E5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F07E5" w:rsidRPr="00D56065" w:rsidRDefault="00FF07E5" w:rsidP="00425283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Каким образом произведен перенос и пересчет остатков?</w:t>
      </w:r>
    </w:p>
    <w:p w:rsidR="00FF07E5" w:rsidRPr="00D56065" w:rsidRDefault="00FF07E5" w:rsidP="00FA28A4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Применяет ретроспективный модифицированный способ – принимаем 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суммарный эффект первоначального применения МСФО (IFRS) 16 в качестве корректировки вступительной нераспределенной прибыли (или другого компонента собственного капитала) на дату первоначального применения.</w:t>
      </w:r>
    </w:p>
    <w:p w:rsidR="00FA28A4" w:rsidRPr="00D56065" w:rsidRDefault="00FA28A4" w:rsidP="00FA28A4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 проводкой будет проводка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Дт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60804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60806 на сумму приведенной стоимости оставшихся ФАКТИЧЕСКИ не уплаченных платежей по лизингу на 01.01.2022 (до дат</w:t>
      </w:r>
      <w:r w:rsidR="00C232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окончания договора). Считаем приведенную стоимость от суммы 864 000 ((108 000*8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) + 14 400 (выкупная стоимость)). Обращаю внимание, что при переходе на МСФО 25/2018 не применяем счет 60807 – в дальнейшем на примере покажем его применение.</w:t>
      </w:r>
    </w:p>
    <w:p w:rsidR="00C23238" w:rsidRDefault="00FA28A4" w:rsidP="00FA28A4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по хозрасчету была начислена амортизация в сумме 324</w:t>
      </w:r>
      <w:r w:rsidR="00C2323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000.</w:t>
      </w:r>
    </w:p>
    <w:p w:rsidR="00FA28A4" w:rsidRPr="00D56065" w:rsidRDefault="00FA28A4" w:rsidP="00C23238">
      <w:pPr>
        <w:pStyle w:val="a5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01.01.2022 ППА признается равной </w:t>
      </w: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цена приобретения арендодателем (лизингодателем) предмета аренды (лизинга) у поставщика для арендатора (лизингополучателя)</w:t>
      </w: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сумма 1 200 000. Таким образом, как указано выше корректируем сумму амортизации со счетом 10801 проводкой </w:t>
      </w:r>
      <w:proofErr w:type="spellStart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</w:t>
      </w:r>
      <w:proofErr w:type="spellEnd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60804 </w:t>
      </w:r>
      <w:proofErr w:type="spellStart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60805 –</w:t>
      </w:r>
      <w:r w:rsidR="00AF1187"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324</w:t>
      </w: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000 </w:t>
      </w:r>
      <w:r w:rsidR="00AF1187"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(переносим сумму ранее накопленной амортизации</w:t>
      </w:r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делаем вторую проводку </w:t>
      </w:r>
      <w:proofErr w:type="spellStart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</w:t>
      </w:r>
      <w:proofErr w:type="spellEnd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60805 </w:t>
      </w:r>
      <w:proofErr w:type="spellStart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10801 – 124 000 (324 000 – 124 000) - такой проводкой корректируем сумму амортизации</w:t>
      </w:r>
      <w:r w:rsidR="00AF1187" w:rsidRPr="00D5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нужной – 200 000</w:t>
      </w:r>
    </w:p>
    <w:p w:rsidR="00361C26" w:rsidRPr="00D56065" w:rsidRDefault="00FA28A4" w:rsidP="00361C26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остаток на </w:t>
      </w:r>
      <w:proofErr w:type="spellStart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60804 должен быть равен 1 200 000, проверяем остаток после двух вышеуказанных проводок. </w:t>
      </w:r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Остаток равен 673 577,</w:t>
      </w:r>
      <w:r w:rsidR="00AF1187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46 + 324</w:t>
      </w:r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</w:t>
      </w:r>
      <w:r w:rsidR="00AF1187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= 977</w:t>
      </w:r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577,46. Значит необходима корректировка остатка на </w:t>
      </w:r>
      <w:proofErr w:type="spellStart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60804 до суммы 1 200 000 через проводку </w:t>
      </w:r>
      <w:proofErr w:type="spellStart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Дт</w:t>
      </w:r>
      <w:proofErr w:type="spellEnd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60804 </w:t>
      </w:r>
      <w:proofErr w:type="spellStart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10801 на разницу (1 200 000 минус </w:t>
      </w:r>
      <w:r w:rsidR="00AF1187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977</w:t>
      </w:r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577,46). Итог равен </w:t>
      </w:r>
      <w:r w:rsidR="00AF1187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61C26" w:rsidRPr="00D56065">
        <w:rPr>
          <w:rFonts w:ascii="Times New Roman" w:hAnsi="Times New Roman" w:cs="Times New Roman"/>
          <w:color w:val="000000" w:themeColor="text1"/>
          <w:sz w:val="24"/>
          <w:szCs w:val="24"/>
        </w:rPr>
        <w:t> 422,54</w:t>
      </w:r>
    </w:p>
    <w:p w:rsidR="00FF07E5" w:rsidRPr="00D56065" w:rsidRDefault="00FF07E5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F1187" w:rsidRPr="00D56065" w:rsidRDefault="00AF1187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F1187" w:rsidRPr="00D56065" w:rsidRDefault="00AF1187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итогу получаем на счетах остатки как указаны ниже и выше в таблице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332"/>
      </w:tblGrid>
      <w:tr w:rsidR="00AF1187" w:rsidRPr="00D56065" w:rsidTr="00E6633C">
        <w:tc>
          <w:tcPr>
            <w:tcW w:w="12332" w:type="dxa"/>
          </w:tcPr>
          <w:p w:rsidR="00AF1187" w:rsidRPr="00D56065" w:rsidRDefault="00AF1187" w:rsidP="0054193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Остатки на 01.01.2022 по ЕПС (которые будут после переноса) (БУ)</w:t>
            </w:r>
          </w:p>
        </w:tc>
      </w:tr>
      <w:tr w:rsidR="00AF1187" w:rsidRPr="00D56065" w:rsidTr="00E6633C">
        <w:tc>
          <w:tcPr>
            <w:tcW w:w="12332" w:type="dxa"/>
          </w:tcPr>
          <w:p w:rsidR="00AF1187" w:rsidRPr="00D56065" w:rsidRDefault="00AF1187" w:rsidP="0054193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60804 – 1 200 000</w:t>
            </w:r>
          </w:p>
        </w:tc>
      </w:tr>
      <w:tr w:rsidR="00AF1187" w:rsidRPr="00D56065" w:rsidTr="00E6633C">
        <w:tc>
          <w:tcPr>
            <w:tcW w:w="12332" w:type="dxa"/>
          </w:tcPr>
          <w:p w:rsidR="00AF1187" w:rsidRPr="00D56065" w:rsidRDefault="00AF1187" w:rsidP="0054193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60805 – 200 000</w:t>
            </w:r>
          </w:p>
        </w:tc>
      </w:tr>
      <w:tr w:rsidR="00AF1187" w:rsidRPr="00D56065" w:rsidTr="00E6633C">
        <w:tc>
          <w:tcPr>
            <w:tcW w:w="12332" w:type="dxa"/>
          </w:tcPr>
          <w:p w:rsidR="00AF1187" w:rsidRPr="00D56065" w:rsidRDefault="00AF1187" w:rsidP="0054193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56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60806 – 673 577,46</w:t>
            </w:r>
          </w:p>
        </w:tc>
      </w:tr>
    </w:tbl>
    <w:p w:rsidR="00AF1187" w:rsidRPr="00D56065" w:rsidRDefault="00AF1187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633C" w:rsidRPr="00D56065" w:rsidRDefault="00E6633C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633C" w:rsidRPr="00D56065" w:rsidRDefault="00E6633C" w:rsidP="00FA28A4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Какие дальнейшие операции по договору по БУ?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Начисление процентных доходов по остатку по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60806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Уплата платежей по лизингу (он состоит из начисленных процентов и еще «берет» часть от остатка по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60806)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Начисление амортизации по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60804</w:t>
      </w:r>
      <w:r w:rsidR="00C232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(амортизацию учитываем на </w:t>
      </w:r>
      <w:proofErr w:type="spellStart"/>
      <w:r w:rsidR="00C232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="00C232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60805)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Отражение выкупа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После выкупа </w:t>
      </w:r>
      <w:r w:rsidR="00C232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делаем </w:t>
      </w: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перенос остатков со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60804 на 60401 (так как предмет перешел в собственность) и перевод амортизации со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60805 на </w:t>
      </w:r>
      <w:proofErr w:type="spellStart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60414</w:t>
      </w:r>
    </w:p>
    <w:p w:rsidR="00E6633C" w:rsidRPr="00D56065" w:rsidRDefault="00E6633C" w:rsidP="00E6633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После переносов по счетам, продолжаем начислять амортизацию</w:t>
      </w:r>
      <w:r w:rsidR="00C2323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как по обычным ОС</w:t>
      </w:r>
    </w:p>
    <w:p w:rsidR="00E6633C" w:rsidRPr="00D56065" w:rsidRDefault="00E6633C" w:rsidP="00E6633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33C" w:rsidRPr="00D56065" w:rsidRDefault="00E6633C" w:rsidP="00E6633C">
      <w:pPr>
        <w:pStyle w:val="a5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Какие дальнейшие операции по договору по НУ?</w:t>
      </w:r>
    </w:p>
    <w:p w:rsidR="00E6633C" w:rsidRPr="00D56065" w:rsidRDefault="00E6633C" w:rsidP="00E6633C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60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560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действующим на 01.01.2022 договорам лизинга</w:t>
      </w:r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лизингодатель и лизингополучатель учитывают доходы и расходы для целей исчисления налога на прибыль организаций по правилам, предусмотренным главой 25 Кодекса, </w:t>
      </w:r>
      <w:r w:rsidRPr="00D56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редакции, действующей на 31.12.2021</w:t>
      </w:r>
    </w:p>
    <w:p w:rsidR="00431A35" w:rsidRPr="00D56065" w:rsidRDefault="00431A35" w:rsidP="00431A35">
      <w:pPr>
        <w:pStyle w:val="a6"/>
        <w:numPr>
          <w:ilvl w:val="0"/>
          <w:numId w:val="21"/>
        </w:numPr>
        <w:tabs>
          <w:tab w:val="left" w:pos="26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 договорам, заключенным с 01.01.2022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- В соответствии с Федеральным законом от 29.11.2021 № 382-ФЗ «О внесении изменений в часть вторую Налогового кодекса Российской Федерации» с 1 января 2022 года изменились правила налогообложения лизинга, заключенным с 01.01.2022:</w:t>
      </w:r>
    </w:p>
    <w:p w:rsidR="00431A35" w:rsidRPr="00D56065" w:rsidRDefault="00431A35" w:rsidP="00431A35">
      <w:pPr>
        <w:pStyle w:val="a6"/>
        <w:tabs>
          <w:tab w:val="left" w:pos="2655"/>
        </w:tabs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Исключены специальные правила амортизации предметов лизинга: утратил силу п. 10 ст. 258 НК РФ - имущество, полученное (переданное) в финансовую аренду по договору финансовой аренды (договору лизинга), включается в соответствующую амортизационную группу (подгруппу) той стороной, у которой данное имущество должно учитываться в соответствии с условиями договора лизинга;</w:t>
      </w:r>
    </w:p>
    <w:p w:rsidR="00431A35" w:rsidRPr="00D56065" w:rsidRDefault="00431A35" w:rsidP="00431A35">
      <w:pPr>
        <w:pStyle w:val="a6"/>
        <w:tabs>
          <w:tab w:val="left" w:pos="2655"/>
        </w:tabs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A35" w:rsidRPr="00D56065" w:rsidRDefault="00431A35" w:rsidP="00431A35">
      <w:pPr>
        <w:pStyle w:val="a6"/>
        <w:tabs>
          <w:tab w:val="left" w:pos="2655"/>
        </w:tabs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Лизинговые платежи можно относить к прочим расходам. Если в них включена выкупная стоимость, для учета затрат ее нужно вычесть (</w:t>
      </w:r>
      <w:proofErr w:type="spellStart"/>
      <w:r w:rsidRPr="00D56065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10 п. 1 ст. 264 НК РФ).</w:t>
      </w:r>
    </w:p>
    <w:p w:rsidR="00C23238" w:rsidRDefault="00C23238" w:rsidP="00431A35">
      <w:pPr>
        <w:pStyle w:val="a6"/>
        <w:tabs>
          <w:tab w:val="left" w:pos="2655"/>
        </w:tabs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A35" w:rsidRPr="00D56065" w:rsidRDefault="00431A35" w:rsidP="00431A35">
      <w:pPr>
        <w:pStyle w:val="a6"/>
        <w:tabs>
          <w:tab w:val="left" w:pos="2655"/>
        </w:tabs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Таким образом, если договор лизинга заключен в 2022 году или позднее, то амортизацию начисляет ТОЛЬКО лизингодатель.</w:t>
      </w:r>
    </w:p>
    <w:p w:rsidR="00735EAC" w:rsidRPr="00D56065" w:rsidRDefault="00735EAC" w:rsidP="00431A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Приложены пояснения и письма Минфина.</w:t>
      </w:r>
    </w:p>
    <w:p w:rsidR="00735EAC" w:rsidRPr="00D56065" w:rsidRDefault="00735EAC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EAC" w:rsidRPr="00D56065" w:rsidRDefault="00735EAC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EAC" w:rsidRPr="00D56065" w:rsidRDefault="00735EAC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33C" w:rsidRPr="00D56065" w:rsidRDefault="00735EAC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Рассмотрим пример отражения переноса по договору аренды</w:t>
      </w:r>
      <w:r w:rsidR="00106720"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(заключенному ранее 2022)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06720" w:rsidRPr="00D56065" w:rsidRDefault="00106720" w:rsidP="00106720">
      <w:pPr>
        <w:rPr>
          <w:rFonts w:ascii="Times New Roman" w:hAnsi="Times New Roman" w:cs="Times New Roman"/>
          <w:b/>
          <w:sz w:val="24"/>
          <w:szCs w:val="24"/>
        </w:rPr>
      </w:pPr>
      <w:r w:rsidRPr="00D56065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Организация заключила с ООО "Финиш" (арендодатель) договор аренды помещения (№ 01/21 от 01.12.2021).</w:t>
      </w: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Основные условия договора: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срок договора - 24 месяца;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арендная плата за помещение установлена в фиксированном размере (с учетом коммунальных услуг) – в месяц 120 000,00 руб., в т. ч. НДС 20 % 20 000,00 руб.;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lastRenderedPageBreak/>
        <w:t xml:space="preserve">общая стоимость договора - 2 880 000 руб. (в </w:t>
      </w:r>
      <w:proofErr w:type="spellStart"/>
      <w:r w:rsidRPr="00D560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6065">
        <w:rPr>
          <w:rFonts w:ascii="Times New Roman" w:hAnsi="Times New Roman" w:cs="Times New Roman"/>
          <w:sz w:val="24"/>
          <w:szCs w:val="24"/>
        </w:rPr>
        <w:t xml:space="preserve">. НДС 20% - 480 000 000 руб.); (она рассчитана 24 </w:t>
      </w:r>
      <w:proofErr w:type="spellStart"/>
      <w:r w:rsidRPr="00D5606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56065">
        <w:rPr>
          <w:rFonts w:ascii="Times New Roman" w:hAnsi="Times New Roman" w:cs="Times New Roman"/>
          <w:sz w:val="24"/>
          <w:szCs w:val="24"/>
        </w:rPr>
        <w:t>*120 000)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оплата арендных платежей осуществляется не позднее 5-го числа месяца, за который осуществляется оплата;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предмет аренды передается арендатору 01.12.2021</w:t>
      </w:r>
    </w:p>
    <w:p w:rsidR="00106720" w:rsidRPr="00D56065" w:rsidRDefault="00106720" w:rsidP="00D56065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на 01.01.2022 организация уже уплатила один платеж 05.12.2021 в размере 120 000,00 руб., в т. ч. НДС 20 % 20 000,00 руб. Расходы по аренде за декабрь 2021 уже учтены по БУ и НУ.</w:t>
      </w: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 xml:space="preserve">Таким образом, остаточная сумма платежей (за оставшийся срок аренды) на 01.01.2022 составляет 2 760 000 руб. (23 </w:t>
      </w:r>
      <w:proofErr w:type="spellStart"/>
      <w:r w:rsidRPr="00D5606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56065">
        <w:rPr>
          <w:rFonts w:ascii="Times New Roman" w:hAnsi="Times New Roman" w:cs="Times New Roman"/>
          <w:sz w:val="24"/>
          <w:szCs w:val="24"/>
        </w:rPr>
        <w:t>*120 000).</w:t>
      </w:r>
    </w:p>
    <w:p w:rsidR="00D56065" w:rsidRPr="00D56065" w:rsidRDefault="00D56065" w:rsidP="00D560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Этот пример расписан в методичке по настройке в программе и показан результат ввода остатков при переходе на 01.01.2022.</w:t>
      </w: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720" w:rsidRPr="00D56065" w:rsidRDefault="00106720" w:rsidP="00D560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Рассмотрим переход на ЕПС с 01.01.2022 по данному договору.</w:t>
      </w:r>
    </w:p>
    <w:p w:rsidR="00106720" w:rsidRPr="00D56065" w:rsidRDefault="00106720" w:rsidP="00C232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Ранее в БУ был учет расходов по аренде, с 01.01.2022 в БУ будет начислять</w:t>
      </w:r>
      <w:r w:rsidR="00D56065" w:rsidRPr="00D56065">
        <w:rPr>
          <w:rFonts w:ascii="Times New Roman" w:hAnsi="Times New Roman" w:cs="Times New Roman"/>
          <w:sz w:val="24"/>
          <w:szCs w:val="24"/>
        </w:rPr>
        <w:t xml:space="preserve"> амортизация по остатку на ППА </w:t>
      </w:r>
      <w:r w:rsidRPr="00D56065">
        <w:rPr>
          <w:rFonts w:ascii="Times New Roman" w:hAnsi="Times New Roman" w:cs="Times New Roman"/>
          <w:sz w:val="24"/>
          <w:szCs w:val="24"/>
        </w:rPr>
        <w:t xml:space="preserve">и процентный расход по остатку на ОА. </w:t>
      </w:r>
    </w:p>
    <w:p w:rsidR="00106720" w:rsidRPr="00D56065" w:rsidRDefault="00106720" w:rsidP="00C232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Ранее в НУ – расходы по аренде, в 2022 также в налоговом учете эти платежи будут учитываться.</w:t>
      </w:r>
    </w:p>
    <w:p w:rsidR="00D56065" w:rsidRPr="00D56065" w:rsidRDefault="00D56065" w:rsidP="00D56065">
      <w:pPr>
        <w:rPr>
          <w:rFonts w:ascii="Times New Roman" w:hAnsi="Times New Roman" w:cs="Times New Roman"/>
          <w:sz w:val="24"/>
          <w:szCs w:val="24"/>
        </w:rPr>
      </w:pPr>
    </w:p>
    <w:p w:rsidR="00106720" w:rsidRPr="00D56065" w:rsidRDefault="00106720" w:rsidP="00D56065">
      <w:pPr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>Проводки при переходе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9864"/>
      </w:tblGrid>
      <w:tr w:rsidR="00106720" w:rsidRPr="00D56065" w:rsidTr="00541930">
        <w:tc>
          <w:tcPr>
            <w:tcW w:w="3823" w:type="dxa"/>
          </w:tcPr>
          <w:p w:rsidR="00106720" w:rsidRPr="00D56065" w:rsidRDefault="0010672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Отражаем ППА и ОА</w:t>
            </w:r>
          </w:p>
        </w:tc>
        <w:tc>
          <w:tcPr>
            <w:tcW w:w="1701" w:type="dxa"/>
          </w:tcPr>
          <w:p w:rsidR="00106720" w:rsidRPr="00D56065" w:rsidRDefault="0010672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60804 </w:t>
            </w:r>
            <w:proofErr w:type="spellStart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60806</w:t>
            </w:r>
            <w:r w:rsidR="00541930"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4" w:type="dxa"/>
          </w:tcPr>
          <w:p w:rsidR="0010672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2 530 494,89 </w:t>
            </w:r>
          </w:p>
          <w:p w:rsidR="0054193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193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приведенная стоимость от суммы оставшихся на 01.01.2022 платежей по договору (от суммы 2 760 000)</w:t>
            </w:r>
          </w:p>
          <w:p w:rsidR="00541930" w:rsidRPr="00D56065" w:rsidRDefault="00541930" w:rsidP="00C2323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Приведенная стоимость рассчитана под ставку 10% (то есть под такую ставку ломбард мог бы привлечь денежные средства в банке)</w:t>
            </w:r>
          </w:p>
        </w:tc>
      </w:tr>
      <w:tr w:rsidR="00106720" w:rsidRPr="00D56065" w:rsidTr="00541930">
        <w:tc>
          <w:tcPr>
            <w:tcW w:w="3823" w:type="dxa"/>
          </w:tcPr>
          <w:p w:rsidR="0010672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налоговом учете на </w:t>
            </w:r>
            <w:proofErr w:type="spellStart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608.К *(спец-й счет, который помогает в программе вести учет налогов по аренде)</w:t>
            </w:r>
          </w:p>
        </w:tc>
        <w:tc>
          <w:tcPr>
            <w:tcW w:w="1701" w:type="dxa"/>
          </w:tcPr>
          <w:p w:rsidR="00106720" w:rsidRPr="00D56065" w:rsidRDefault="0010672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</w:tcPr>
          <w:p w:rsidR="0010672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2 760 000</w:t>
            </w:r>
          </w:p>
          <w:p w:rsidR="00541930" w:rsidRPr="00D56065" w:rsidRDefault="00541930" w:rsidP="00431A3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сумма, всех расходов, к-е будут отнесены в расходы (по налогам) по данному договору с 01.01.2022</w:t>
            </w:r>
          </w:p>
        </w:tc>
      </w:tr>
    </w:tbl>
    <w:p w:rsidR="00106720" w:rsidRPr="00D56065" w:rsidRDefault="00106720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930" w:rsidRPr="00D56065" w:rsidRDefault="00541930" w:rsidP="00D56065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Итог перехода</w:t>
      </w:r>
    </w:p>
    <w:p w:rsidR="00541930" w:rsidRPr="00D56065" w:rsidRDefault="00541930" w:rsidP="00D56065">
      <w:pPr>
        <w:pStyle w:val="a6"/>
        <w:numPr>
          <w:ilvl w:val="0"/>
          <w:numId w:val="23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D56065">
        <w:rPr>
          <w:rFonts w:ascii="Times New Roman" w:hAnsi="Times New Roman" w:cs="Times New Roman"/>
          <w:sz w:val="24"/>
          <w:szCs w:val="24"/>
        </w:rPr>
        <w:t xml:space="preserve"> счете 60804 числится ДТ остаток на сумму первоначальной стоимости ППА, которая в данном случае равна приведенной стоимости обязательства по аренде (сумма 2 530 494,89)</w:t>
      </w:r>
    </w:p>
    <w:p w:rsidR="00541930" w:rsidRPr="00D56065" w:rsidRDefault="00541930" w:rsidP="00D5606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5606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56065">
        <w:rPr>
          <w:rFonts w:ascii="Times New Roman" w:hAnsi="Times New Roman" w:cs="Times New Roman"/>
          <w:sz w:val="24"/>
          <w:szCs w:val="24"/>
        </w:rPr>
        <w:t xml:space="preserve"> 60806 числится </w:t>
      </w:r>
      <w:proofErr w:type="spellStart"/>
      <w:r w:rsidRPr="00D56065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D56065">
        <w:rPr>
          <w:rFonts w:ascii="Times New Roman" w:hAnsi="Times New Roman" w:cs="Times New Roman"/>
          <w:sz w:val="24"/>
          <w:szCs w:val="24"/>
        </w:rPr>
        <w:t xml:space="preserve"> остаток на сумму приведенной стоимости обязательства по аренде.</w:t>
      </w:r>
    </w:p>
    <w:p w:rsidR="00541930" w:rsidRPr="00D56065" w:rsidRDefault="00541930" w:rsidP="00431A3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Дальнейшие действия</w:t>
      </w:r>
    </w:p>
    <w:p w:rsidR="00D56065" w:rsidRPr="00D56065" w:rsidRDefault="00541930" w:rsidP="00541930">
      <w:pPr>
        <w:pStyle w:val="a6"/>
        <w:numPr>
          <w:ilvl w:val="0"/>
          <w:numId w:val="2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Начисление амо</w:t>
      </w:r>
      <w:r w:rsidR="00D56065"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ртизации по остатку на </w:t>
      </w:r>
      <w:proofErr w:type="spellStart"/>
      <w:r w:rsidR="00D56065" w:rsidRPr="00D56065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D56065"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60804.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1930" w:rsidRPr="00D56065" w:rsidRDefault="00541930" w:rsidP="00D56065">
      <w:pPr>
        <w:pStyle w:val="a6"/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Амортизация начисляется на </w:t>
      </w:r>
      <w:proofErr w:type="spellStart"/>
      <w:r w:rsidRPr="00D56065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60805 ежемесячно, в корреспонденции как при амортизации ОС</w:t>
      </w:r>
      <w:r w:rsidR="00D56065"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по д</w:t>
      </w:r>
      <w:r w:rsidR="00D56065"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ебет</w:t>
      </w:r>
      <w:r w:rsidR="00D56065"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56065"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счета N </w:t>
      </w:r>
      <w:hyperlink r:id="rId84" w:anchor="block_71802" w:history="1">
        <w:r w:rsidR="00D56065" w:rsidRPr="00D5606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71802</w:t>
        </w:r>
      </w:hyperlink>
      <w:r w:rsidR="00D56065" w:rsidRPr="00D56065">
        <w:rPr>
          <w:rFonts w:ascii="Times New Roman" w:hAnsi="Times New Roman" w:cs="Times New Roman"/>
          <w:sz w:val="24"/>
          <w:szCs w:val="24"/>
          <w:shd w:val="clear" w:color="auto" w:fill="FFFFFF"/>
        </w:rPr>
        <w:t> "Расходы, связанные с обеспечением деятельности" по символу 55302 "Амортизация по активам в форме права пользования" отчета о финансовых результатах (далее - ОФР)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. Для того</w:t>
      </w:r>
      <w:r w:rsidR="00D56065" w:rsidRPr="00D560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начислялась амортизация мы в программе заводим ОС, устанавливаем СПИ.</w:t>
      </w:r>
    </w:p>
    <w:p w:rsidR="00D56065" w:rsidRPr="00D56065" w:rsidRDefault="00541930" w:rsidP="00D5048C">
      <w:pPr>
        <w:pStyle w:val="a6"/>
        <w:numPr>
          <w:ilvl w:val="0"/>
          <w:numId w:val="2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Начисление процентов по остатку </w:t>
      </w:r>
      <w:proofErr w:type="spellStart"/>
      <w:r w:rsidRPr="00D56065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 60806</w:t>
      </w:r>
      <w:r w:rsidR="00D56065" w:rsidRPr="00D56065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</w:p>
    <w:p w:rsidR="00D56065" w:rsidRPr="00D56065" w:rsidRDefault="00D56065" w:rsidP="00D56065">
      <w:pPr>
        <w:pStyle w:val="a6"/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Не позднее последнего дня месяца и в установленные договором аренды даты уплаты арендных платежей процентные расходы, начисленные за истекший месяц либо за период с даты уплаты предыдущего арендного платежа, отражаются бухгалтерской записью:</w:t>
      </w:r>
    </w:p>
    <w:p w:rsidR="00D56065" w:rsidRPr="00D56065" w:rsidRDefault="00D56065" w:rsidP="00D56065">
      <w:pPr>
        <w:pStyle w:val="a6"/>
        <w:numPr>
          <w:ilvl w:val="0"/>
          <w:numId w:val="25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Дебет счета N 71101 "Процентные расходы" (в ОФР по символам раздела 4 "Процентные расходы" части 4 "Расходы по операциям с финансовыми инструме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нтами и драгоценными металлами")</w:t>
      </w:r>
      <w:r w:rsidR="00D64E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4E41" w:rsidRPr="00D64E41">
        <w:rPr>
          <w:rFonts w:ascii="Times New Roman" w:hAnsi="Times New Roman" w:cs="Times New Roman"/>
          <w:b/>
          <w:sz w:val="24"/>
          <w:szCs w:val="24"/>
          <w:lang w:eastAsia="ru-RU"/>
        </w:rPr>
        <w:t>ОБРАТИТЕ ВНИМАНИЕ НА ПОЯСНЕНИЕ ЦБ В КОНЦЕ МАТЕРИАЛА ПО СИМВОЛУ ОФР ПО ПРОЦЕНТНЫМ РАСХОДАМ – СИМВОЛ ОФР ДОЛЖЕН БЫТЬ ВЫБРАН ТОТ, КОТОРЫЙ СООТВЕТСТВУЕТ ФОРМЕ СОБСТВЕННОСТИ АРЕНДОДАТЕЛЯ СОГЛАСНО ДОГОВОРУ АРЕНДЫ/ЛИЗИНГА</w:t>
      </w:r>
      <w:r w:rsidR="00D64E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6065" w:rsidRPr="00D56065" w:rsidRDefault="00D56065" w:rsidP="00751538">
      <w:pPr>
        <w:pStyle w:val="a6"/>
        <w:numPr>
          <w:ilvl w:val="0"/>
          <w:numId w:val="25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Кредит счета N 60806 "Арендные обязательства".</w:t>
      </w:r>
    </w:p>
    <w:p w:rsidR="00D56065" w:rsidRPr="00D56065" w:rsidRDefault="00D56065" w:rsidP="00D56065">
      <w:pPr>
        <w:pStyle w:val="a6"/>
        <w:numPr>
          <w:ilvl w:val="0"/>
          <w:numId w:val="2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В дату уплаты текущего арендного платежа кредиторская задолженность по текущему арендному платежу отражается бухгалтерской записью:</w:t>
      </w:r>
    </w:p>
    <w:p w:rsidR="00D56065" w:rsidRPr="00D56065" w:rsidRDefault="00D56065" w:rsidP="00D56065">
      <w:pPr>
        <w:pStyle w:val="a6"/>
        <w:numPr>
          <w:ilvl w:val="0"/>
          <w:numId w:val="28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ебет счета N 60806 "Арендные обязательства"</w:t>
      </w:r>
    </w:p>
    <w:p w:rsidR="00D56065" w:rsidRPr="00D56065" w:rsidRDefault="00D56065" w:rsidP="00D5606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счета N </w:t>
      </w:r>
      <w:hyperlink r:id="rId85" w:anchor="block_60311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60311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"Расчеты с поставщиками и подрядчиками" или счета N </w:t>
      </w:r>
      <w:hyperlink r:id="rId86" w:anchor="block_60313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60313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"Расчеты с организациями-нерезидентами по хозяйственным операциям".</w:t>
      </w:r>
    </w:p>
    <w:p w:rsidR="00D56065" w:rsidRPr="00D56065" w:rsidRDefault="00D56065" w:rsidP="00B50EF0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текущего арендного платежа отражается бухгалтерской записью:</w:t>
      </w:r>
    </w:p>
    <w:p w:rsidR="00D56065" w:rsidRPr="00D56065" w:rsidRDefault="00D56065" w:rsidP="00D56065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 счета N </w:t>
      </w:r>
      <w:hyperlink r:id="rId87" w:anchor="block_60311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60311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"Расчеты с поставщиками и подрядчиками" или счета N </w:t>
      </w:r>
      <w:hyperlink r:id="rId88" w:anchor="block_60313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60313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"Расчеты с организациями-нерезидентами по хозяйственным операциям"</w:t>
      </w:r>
    </w:p>
    <w:p w:rsidR="00D56065" w:rsidRPr="00D56065" w:rsidRDefault="00D56065" w:rsidP="00D56065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счета N </w:t>
      </w:r>
      <w:hyperlink r:id="rId89" w:anchor="block_20501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20501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"Расчетные счета в кредитных организациях" или счета N </w:t>
      </w:r>
      <w:hyperlink r:id="rId90" w:anchor="block_20502" w:history="1">
        <w:r w:rsidRPr="00D56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20502</w:t>
        </w:r>
      </w:hyperlink>
      <w:r w:rsidRPr="00D56065">
        <w:rPr>
          <w:rFonts w:ascii="Times New Roman" w:eastAsia="Times New Roman" w:hAnsi="Times New Roman" w:cs="Times New Roman"/>
          <w:sz w:val="24"/>
          <w:szCs w:val="24"/>
          <w:lang w:eastAsia="ru-RU"/>
        </w:rPr>
        <w:t> "Расчетные счета в банках-нерезидентах" (далее - счета по учету денежных средств).</w:t>
      </w:r>
    </w:p>
    <w:p w:rsidR="00D56065" w:rsidRPr="00D56065" w:rsidRDefault="00D56065" w:rsidP="00D560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65" w:rsidRPr="00D56065" w:rsidRDefault="00D56065" w:rsidP="00D56065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>Так как обычно по договорам аренды нет перехода права собственности по окончании аренды, то в дату окончания договора</w:t>
      </w:r>
      <w:r w:rsidR="00D64E41">
        <w:rPr>
          <w:rFonts w:ascii="Times New Roman" w:hAnsi="Times New Roman" w:cs="Times New Roman"/>
          <w:sz w:val="24"/>
          <w:szCs w:val="24"/>
          <w:lang w:eastAsia="ru-RU"/>
        </w:rPr>
        <w:t xml:space="preserve"> делаем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065">
        <w:rPr>
          <w:rFonts w:ascii="Times New Roman" w:hAnsi="Times New Roman" w:cs="Times New Roman"/>
          <w:sz w:val="24"/>
          <w:szCs w:val="24"/>
          <w:lang w:eastAsia="ru-RU"/>
        </w:rPr>
        <w:t xml:space="preserve">Прекращение признания </w:t>
      </w:r>
      <w:r w:rsidRPr="006232CC">
        <w:rPr>
          <w:rFonts w:ascii="Times New Roman" w:hAnsi="Times New Roman" w:cs="Times New Roman"/>
          <w:sz w:val="24"/>
          <w:szCs w:val="24"/>
          <w:lang w:eastAsia="ru-RU"/>
        </w:rPr>
        <w:t>обязательства по договору аренды отражается бухгалтерской записью:</w:t>
      </w:r>
    </w:p>
    <w:p w:rsidR="00D56065" w:rsidRPr="006232CC" w:rsidRDefault="00D56065" w:rsidP="00D5606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Дебет счета N </w:t>
      </w:r>
      <w:hyperlink r:id="rId91" w:anchor="block_60806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60806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"Арендные обязательства"</w:t>
      </w:r>
    </w:p>
    <w:p w:rsidR="00D56065" w:rsidRPr="006232CC" w:rsidRDefault="00D56065" w:rsidP="00D5606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Кредит счета N </w:t>
      </w:r>
      <w:hyperlink r:id="rId92" w:anchor="block_61209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61209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"Выбытие (реализация) имущества".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Выбытие базового актива в сумме балансовой стоимости отражается бухгалтерской записью:</w:t>
      </w:r>
    </w:p>
    <w:p w:rsidR="00D56065" w:rsidRPr="006232CC" w:rsidRDefault="00D56065" w:rsidP="00D56065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Дебет счета N </w:t>
      </w:r>
      <w:hyperlink r:id="rId93" w:anchor="block_61209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61209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"Выбытие (реализация) имущества"</w:t>
      </w:r>
    </w:p>
    <w:p w:rsidR="00D56065" w:rsidRPr="006232CC" w:rsidRDefault="00D56065" w:rsidP="00D56065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Кредит счета N </w:t>
      </w:r>
      <w:hyperlink r:id="rId94" w:anchor="block_60804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60804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"Имущество, полученное в финансовую аренду".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Списание накопленной амортизации, начисленной на базовый актив, отражается бухгалтерской записью:</w:t>
      </w:r>
    </w:p>
    <w:p w:rsidR="00D56065" w:rsidRPr="006232CC" w:rsidRDefault="00D56065" w:rsidP="00D56065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Дебет счета N </w:t>
      </w:r>
      <w:hyperlink r:id="rId95" w:anchor="block_60805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60805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"Амортизация основных средств, полученных в финансовую аренду"</w:t>
      </w:r>
    </w:p>
    <w:p w:rsidR="00D56065" w:rsidRPr="00D56065" w:rsidRDefault="00D56065" w:rsidP="00D56065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Кредит счета N </w:t>
      </w:r>
      <w:hyperlink r:id="rId96" w:anchor="block_61209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61209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6065">
        <w:rPr>
          <w:rFonts w:ascii="Times New Roman" w:hAnsi="Times New Roman" w:cs="Times New Roman"/>
          <w:sz w:val="24"/>
          <w:szCs w:val="24"/>
          <w:lang w:eastAsia="ru-RU"/>
        </w:rPr>
        <w:t>"Выбытие (реализация) имущества".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Финансовый результат по прекращению признания договора аренды отражается бухгалтерской записью:</w:t>
      </w:r>
    </w:p>
    <w:p w:rsidR="00D56065" w:rsidRPr="006232CC" w:rsidRDefault="00D56065" w:rsidP="00D5606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Дебет счета N </w:t>
      </w:r>
      <w:hyperlink r:id="rId97" w:anchor="block_71702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71702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"Расходы по другим операциям" (в ОФР по символу 53805 "Прочие расходы арендатора по договорам аренды")</w:t>
      </w:r>
    </w:p>
    <w:p w:rsidR="00D56065" w:rsidRPr="006232CC" w:rsidRDefault="00D56065" w:rsidP="00D5606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Кредит счета N </w:t>
      </w:r>
      <w:hyperlink r:id="rId98" w:anchor="block_61209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61209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 xml:space="preserve"> "Выбытие (реализация) имущества" 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или</w:t>
      </w:r>
    </w:p>
    <w:p w:rsidR="00D56065" w:rsidRPr="006232CC" w:rsidRDefault="00D56065" w:rsidP="00D5606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Дебет счета N </w:t>
      </w:r>
      <w:hyperlink r:id="rId99" w:anchor="block_61209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61209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"Выбытие (реализация) имущества"</w:t>
      </w:r>
    </w:p>
    <w:p w:rsidR="00D56065" w:rsidRPr="006232CC" w:rsidRDefault="00D56065" w:rsidP="00D5606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sz w:val="24"/>
          <w:szCs w:val="24"/>
          <w:lang w:eastAsia="ru-RU"/>
        </w:rPr>
        <w:t>Кредит счета N </w:t>
      </w:r>
      <w:hyperlink r:id="rId100" w:anchor="block_71701" w:history="1">
        <w:r w:rsidRPr="006232CC">
          <w:rPr>
            <w:rFonts w:ascii="Times New Roman" w:hAnsi="Times New Roman" w:cs="Times New Roman"/>
            <w:sz w:val="24"/>
            <w:szCs w:val="24"/>
            <w:lang w:eastAsia="ru-RU"/>
          </w:rPr>
          <w:t>71701</w:t>
        </w:r>
      </w:hyperlink>
      <w:r w:rsidRPr="006232CC">
        <w:rPr>
          <w:rFonts w:ascii="Times New Roman" w:hAnsi="Times New Roman" w:cs="Times New Roman"/>
          <w:sz w:val="24"/>
          <w:szCs w:val="24"/>
          <w:lang w:eastAsia="ru-RU"/>
        </w:rPr>
        <w:t> "Доходы по другим операциям" (в ОФР по символу 52304 "Прочие доходы арендатора по договорам аренды"</w:t>
      </w:r>
    </w:p>
    <w:p w:rsidR="00D56065" w:rsidRPr="006232CC" w:rsidRDefault="00D56065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8C7" w:rsidRDefault="00AF58C7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8C7" w:rsidRDefault="00AF58C7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Пояснения от ЦБ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400"/>
      </w:tblGrid>
      <w:tr w:rsidR="00AF58C7" w:rsidTr="00AF58C7">
        <w:tc>
          <w:tcPr>
            <w:tcW w:w="988" w:type="dxa"/>
          </w:tcPr>
          <w:p w:rsidR="00AF58C7" w:rsidRPr="006232CC" w:rsidRDefault="00AF58C7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00" w:type="dxa"/>
          </w:tcPr>
          <w:p w:rsidR="00AF58C7" w:rsidRPr="006232CC" w:rsidRDefault="00AF58C7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51 ФСБУ 25/20182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ломбарды вправе были 01.01.2022 принять решение не применять ФСБУ 25/2018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договоров аренды,</w:t>
            </w:r>
            <w:r w:rsidR="006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которых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истекает до конца года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отчетности за который применяется ФСБУ 25/2018. </w:t>
            </w:r>
          </w:p>
          <w:p w:rsidR="00AF58C7" w:rsidRPr="006232CC" w:rsidRDefault="00AF58C7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C7" w:rsidRPr="006232CC" w:rsidRDefault="00AF58C7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В случае принятия ломбардами такого решения с 01.01.2022 в отношении договоров аренды, срок которых заканчивается в 2022 году (с учетом планируемого срока аренды), указанные договоры ломбарды вправе учитывать в качестве краткосрочной аренды в соответствии с пунктом 2.12 Положения Банка России № 635-П.</w:t>
            </w:r>
          </w:p>
        </w:tc>
      </w:tr>
      <w:tr w:rsidR="00AF58C7" w:rsidTr="00AF58C7">
        <w:tc>
          <w:tcPr>
            <w:tcW w:w="988" w:type="dxa"/>
          </w:tcPr>
          <w:p w:rsidR="00AF58C7" w:rsidRPr="006232CC" w:rsidRDefault="00D64E41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0" w:type="dxa"/>
          </w:tcPr>
          <w:p w:rsidR="00006C26" w:rsidRPr="006232CC" w:rsidRDefault="00AF58C7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договором аренды предусмотрен опцион на продление аренды, и на дату начала аренды существует достаточная уверенность в том, что ломбарды им воспользуются, то периоды, в отношении которых действует опцион на продление аренды, включаются в срок аренды при первоначальном признании. </w:t>
            </w:r>
          </w:p>
          <w:p w:rsidR="00006C26" w:rsidRPr="006232CC" w:rsidRDefault="00006C26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C7" w:rsidRPr="006232CC" w:rsidRDefault="00AF58C7" w:rsidP="00006C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Согласно пункту В37 МСФО (IFRS) 16 на дату начала аренды необходимо учитывать все уместные факты и обстоятельства, которые обуславливают наличие у арендатора экономического стимула для исполнения или неисполнения опциона на продление аренды или неисполнения опциона на прекращение аренды. Пунктом B40 МСФО (IFRS) 16 определено, что прошлая практика арендатора в отношении периода, в течение которого он обычно использовал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определенные виды активов (предоставленные в аренду или находящиеся в собственности), а также экономические причины, по которым он это делал, могут предоставить информацию, полезную для анализа наличия достаточной уверенности в том, что арендатор исполнит или не исполнит опцион. По мнению ДРБУ, наличие преимущественного права арендатора на заключение договора аренды на новый срок, предусмотренного статьей 621 ГК РФ, и наличие прошлой практики долгосрочного использования арендованного имущества свидетельствуют о том, что договор может не являться договором краткосрочной аренды. Следовательно, ломбарды должны самостоятельно проанализировать все свои права и обязательства независимо от того, возникают ли они из условий договора или соответствующих требований законодательных актов Российской Федерации, и, применяя профессиональное суждение, классифицировать указанный в обращении договор аренды.</w:t>
            </w:r>
          </w:p>
        </w:tc>
      </w:tr>
      <w:tr w:rsidR="00006C26" w:rsidTr="00AF58C7">
        <w:tc>
          <w:tcPr>
            <w:tcW w:w="988" w:type="dxa"/>
          </w:tcPr>
          <w:p w:rsidR="00006C26" w:rsidRPr="006232CC" w:rsidRDefault="00D64E41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0" w:type="dxa"/>
          </w:tcPr>
          <w:p w:rsidR="00006C26" w:rsidRPr="006232CC" w:rsidRDefault="00006C26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изложенное, ломбарды самостоятельно на основании принципов МСФО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формируют профессиональное суждение о размере ставки дисконтирования для целей отражения в бухгалтерском учете договоров аренды</w:t>
            </w:r>
          </w:p>
        </w:tc>
      </w:tr>
      <w:tr w:rsidR="00006C26" w:rsidTr="00AF58C7">
        <w:tc>
          <w:tcPr>
            <w:tcW w:w="988" w:type="dxa"/>
          </w:tcPr>
          <w:p w:rsidR="00006C26" w:rsidRPr="006232CC" w:rsidRDefault="00D64E41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00" w:type="dxa"/>
          </w:tcPr>
          <w:p w:rsidR="00006C26" w:rsidRPr="006232CC" w:rsidRDefault="00E17D1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При отражении процентных расходов по договору аренды НФО использует символ отчета о финансовых результатах с учетом вида организации – арендодателя.</w:t>
            </w:r>
          </w:p>
          <w:p w:rsidR="00E17D10" w:rsidRPr="006232CC" w:rsidRDefault="00E17D1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10" w:rsidRPr="006232CC" w:rsidRDefault="00E17D10" w:rsidP="006232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ВАЖНО - ставим символ, к-й соответствует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форме собственности организации, с которой заключен договор аренды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6C00" w:rsidRPr="006232CC" w:rsidRDefault="00D26C00" w:rsidP="00D5606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2C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НДС по арендным платежам</w:t>
      </w:r>
      <w:r w:rsidR="0052278E" w:rsidRPr="006232CC">
        <w:rPr>
          <w:rFonts w:ascii="Times New Roman" w:hAnsi="Times New Roman" w:cs="Times New Roman"/>
          <w:b/>
          <w:sz w:val="24"/>
          <w:szCs w:val="24"/>
          <w:lang w:eastAsia="ru-RU"/>
        </w:rPr>
        <w:t>/учет ППА/ОА</w:t>
      </w:r>
    </w:p>
    <w:p w:rsidR="00D26C00" w:rsidRDefault="00D26C00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26C00" w:rsidTr="00D26C00">
        <w:tc>
          <w:tcPr>
            <w:tcW w:w="7694" w:type="dxa"/>
          </w:tcPr>
          <w:p w:rsidR="00D26C00" w:rsidRPr="006232CC" w:rsidRDefault="00D26C00" w:rsidP="005227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2022 году</w:t>
            </w:r>
          </w:p>
        </w:tc>
        <w:tc>
          <w:tcPr>
            <w:tcW w:w="7694" w:type="dxa"/>
          </w:tcPr>
          <w:p w:rsidR="00D26C00" w:rsidRPr="006232CC" w:rsidRDefault="00D26C00" w:rsidP="005227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2023</w:t>
            </w:r>
          </w:p>
        </w:tc>
      </w:tr>
      <w:tr w:rsidR="00D26C00" w:rsidTr="00D26C00">
        <w:tc>
          <w:tcPr>
            <w:tcW w:w="7694" w:type="dxa"/>
          </w:tcPr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пояснений ЦБ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о даты вступления в силу норм пункта 7 ФСБУ 25/2018 в новой редакции при оценке обязательства по аренде НФО4 , применяющая пункт 2 статьи 170 НК РФ5 , руководствуется действующей редакцией пункта 7 ФСБУ 25/2018 и разъяснениями, приведенными на официальном сайте Банка России в разделе «Документы и данные – Статистика – Информация для отчитывающихся организаций – Бухгалтерский учет и отчетность – Бухгалтерский учет и отчетность в </w:t>
            </w:r>
            <w:proofErr w:type="spellStart"/>
            <w:r w:rsidRPr="006232CC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организациях – Правовые акты – Положение Банка России № 635-П6» (Бухгалтерский учет арендатора, вопросы № 11 и 12).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00" w:rsidRPr="006232CC" w:rsidRDefault="00D26C00" w:rsidP="00D26C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ВЫВОД </w:t>
            </w:r>
          </w:p>
          <w:p w:rsidR="00D26C00" w:rsidRPr="00D26C00" w:rsidRDefault="00D26C00" w:rsidP="00D26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D26C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даты вступления изменений Минфина – НДС не выделяется м включается в сумму арендных обязательств. Так указано в письмах ЦБ с сайта № 11 и № 12 (письма приложила – в письме № 11 выделила цветом главное, Письмо № 12 нам не подходит).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94" w:type="dxa"/>
          </w:tcPr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7 августа 2022 года вступили в силу уточнения, внесенные в ФСБУ 25/2018 «Бухгалтерский учет аренды» приказом Минфина от 29 июня 2022 г. № 101н.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начать применять их нужно позже.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поправка к ФСБУ 25/2018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арендных платежей по новым правилам будет формироваться только с исключением сумм любого НДС, как возмещаемого, так и не возмещаемого (новая редакция абзаца 1 п. 7 ФСБУ 25/2018).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по новым правилам поступать с НДС в арендных платежах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Счета за аренду арендодатель выставляет с НДС.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Арендатор в общем случае признает предмет аренды в качестве права пользования активом (ППА) с одновременным признанием обязательства по аренде (п. 10 ФСБУ 25/2018).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ППА признается по фактической стоимости, которая включает, в частности, величину первоначальной оценки обязательства по аренде — приведенную стоимость будущих арендных платежей (п. 13 — 15 ФСБУ 25/2018).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Согласно обновленному пункту 7 ФСБУ 25/2018, в состав арендных платежей не включаются как возмещаемые, так и не возмещаемые суммы НДС, обусловленные договором аренды.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Возмещаемый НДС подлежит вычету согласно нормам главы 21 НК РФ. В фактическую стоимость активов и услуг он не включается.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будет значиться в стоимости услуг по аренде.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Аренда — это услуга. Но в бухучете у арендатора возникает актив в виде права ППА.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Значит, невозмещаемый НДС тоже не должен включаться в бухучете у арендатора в стоимость ППА.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А чтобы невозмещаемый НДС не попал в стоимость ППА, </w:t>
            </w:r>
            <w:r w:rsidRPr="006232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он не должен включаться в номинальную сумму будущих арендных платежей, а значит, и в сумму арендных обязательств.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Таким образом, как для арендатора, так и для арендодателя сумма НДС (и возмещаемого, и невозмещаемого) не является частью арендных платежей, обусловленных договором аренды.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Сумма НДС подлежит признанию в бухгалтерском учете в качестве обязательства только в момент возникновения обязанности по ее уплате. В расчете ППА и обязательств по аренде она не участвует.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Такие разъяснения давал Минфин еще в письме от 18 января 2022 г. № 07-04-09/2185.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Теперь соответствующая корректировка внесена в ФСБУ 5/2018 «Бухгалтерский учет аренды». Когда применять поправки? Приказ Минфина от 29 июня 2022 г. № 101н с изменениями в ФСБУ 25/2018 вступил в силу с 7 августа 2022 года.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это указал Минфин в Информационном сообщении от 15 августа 2022 г. № ИС-учет-41.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когда их начинать применять, ничего не сказано. Ответ на вопрос найдем в ПБУ 1/2008 «Учетная политика организации», утвержденном приказом Минфина от 6 октября 2008 г. № 106н.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10 ПБУ 1/2008 предписывает, что изменение учетной политики организации может производиться в случаях: изменения законодательства Российской Федерации и (или) нормативных правовых </w:t>
            </w: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актов по бухгалтерскому учету; разработки организацией новых способов ведения бухгалтерского учета.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Применение нового способа ведения бухгалтерского учета предполагает повышение качества информации об объекте бухгалтерского учета; существенного изменения условий хозяйствования.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Существенное изменение условий хозяйствования организации может быть связано с реорганизацией, изменением видов деятельности и </w:t>
            </w:r>
            <w:proofErr w:type="gramStart"/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т.п..</w:t>
            </w:r>
            <w:proofErr w:type="gramEnd"/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 пункте 12 говорится, что изменение учетной политики производится с начала отчетного года, если иное не обусловливается причиной такого изменения.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Таким образом, как следует из ПБУ 1/2008, измененную учетную политику нужно применять только с начала нового года (п. 10, 12 ПБУ 1/2008).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Изменение учетной политики должно быть обоснованным и оформляться в установленном порядке. </w:t>
            </w:r>
          </w:p>
          <w:p w:rsidR="00D26C00" w:rsidRPr="006232CC" w:rsidRDefault="00D26C00" w:rsidP="00D560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6C00" w:rsidRPr="006232CC" w:rsidRDefault="00D26C00" w:rsidP="00D26C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C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Поэтому не забудьте внести изменения в бухгалтерскую учетную политику на 2023 год (п. 11 ПБУ 1/2008).</w:t>
            </w:r>
          </w:p>
        </w:tc>
      </w:tr>
    </w:tbl>
    <w:p w:rsidR="00D26C00" w:rsidRDefault="00D26C00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34F" w:rsidRDefault="0018634F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34F" w:rsidRDefault="0018634F" w:rsidP="00D560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8634F" w:rsidSect="00691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8A5"/>
    <w:multiLevelType w:val="multilevel"/>
    <w:tmpl w:val="E32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A4D9D"/>
    <w:multiLevelType w:val="multilevel"/>
    <w:tmpl w:val="752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6573D"/>
    <w:multiLevelType w:val="hybridMultilevel"/>
    <w:tmpl w:val="2D00E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0169"/>
    <w:multiLevelType w:val="hybridMultilevel"/>
    <w:tmpl w:val="88B891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80A32"/>
    <w:multiLevelType w:val="hybridMultilevel"/>
    <w:tmpl w:val="C4D6B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863"/>
    <w:multiLevelType w:val="hybridMultilevel"/>
    <w:tmpl w:val="FDB25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B4096"/>
    <w:multiLevelType w:val="hybridMultilevel"/>
    <w:tmpl w:val="FF4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441"/>
    <w:multiLevelType w:val="hybridMultilevel"/>
    <w:tmpl w:val="899A6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1F1"/>
    <w:multiLevelType w:val="hybridMultilevel"/>
    <w:tmpl w:val="D3028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4968"/>
    <w:multiLevelType w:val="hybridMultilevel"/>
    <w:tmpl w:val="B1BE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C31"/>
    <w:multiLevelType w:val="hybridMultilevel"/>
    <w:tmpl w:val="187C9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0E5D"/>
    <w:multiLevelType w:val="hybridMultilevel"/>
    <w:tmpl w:val="C90A2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5B97"/>
    <w:multiLevelType w:val="multilevel"/>
    <w:tmpl w:val="DB5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B3F3D"/>
    <w:multiLevelType w:val="hybridMultilevel"/>
    <w:tmpl w:val="A88C8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13C1"/>
    <w:multiLevelType w:val="hybridMultilevel"/>
    <w:tmpl w:val="F9D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61F"/>
    <w:multiLevelType w:val="hybridMultilevel"/>
    <w:tmpl w:val="117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DB1"/>
    <w:multiLevelType w:val="hybridMultilevel"/>
    <w:tmpl w:val="066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5CF9"/>
    <w:multiLevelType w:val="hybridMultilevel"/>
    <w:tmpl w:val="1F3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B86"/>
    <w:multiLevelType w:val="multilevel"/>
    <w:tmpl w:val="171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B26301"/>
    <w:multiLevelType w:val="hybridMultilevel"/>
    <w:tmpl w:val="EA18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F65"/>
    <w:multiLevelType w:val="multilevel"/>
    <w:tmpl w:val="39E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E0469D"/>
    <w:multiLevelType w:val="hybridMultilevel"/>
    <w:tmpl w:val="162CD400"/>
    <w:lvl w:ilvl="0" w:tplc="718A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47086"/>
    <w:multiLevelType w:val="hybridMultilevel"/>
    <w:tmpl w:val="4E72C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13DD"/>
    <w:multiLevelType w:val="hybridMultilevel"/>
    <w:tmpl w:val="52C24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223F2"/>
    <w:multiLevelType w:val="hybridMultilevel"/>
    <w:tmpl w:val="6220E1C2"/>
    <w:lvl w:ilvl="0" w:tplc="060EA4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7A5"/>
    <w:multiLevelType w:val="multilevel"/>
    <w:tmpl w:val="B4D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B3510"/>
    <w:multiLevelType w:val="hybridMultilevel"/>
    <w:tmpl w:val="BBCA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A7AED"/>
    <w:multiLevelType w:val="hybridMultilevel"/>
    <w:tmpl w:val="4808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60E0"/>
    <w:multiLevelType w:val="hybridMultilevel"/>
    <w:tmpl w:val="FDD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53EC"/>
    <w:multiLevelType w:val="hybridMultilevel"/>
    <w:tmpl w:val="9C8E79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A422B5"/>
    <w:multiLevelType w:val="hybridMultilevel"/>
    <w:tmpl w:val="5A60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97B74"/>
    <w:multiLevelType w:val="hybridMultilevel"/>
    <w:tmpl w:val="9628EC5C"/>
    <w:lvl w:ilvl="0" w:tplc="BD366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79D5"/>
    <w:multiLevelType w:val="hybridMultilevel"/>
    <w:tmpl w:val="F93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B57CC"/>
    <w:multiLevelType w:val="hybridMultilevel"/>
    <w:tmpl w:val="E1C4D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065A1"/>
    <w:multiLevelType w:val="multilevel"/>
    <w:tmpl w:val="484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632186"/>
    <w:multiLevelType w:val="hybridMultilevel"/>
    <w:tmpl w:val="FCECA83C"/>
    <w:lvl w:ilvl="0" w:tplc="2CAE5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32F5D"/>
    <w:multiLevelType w:val="hybridMultilevel"/>
    <w:tmpl w:val="99D63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20240"/>
    <w:multiLevelType w:val="hybridMultilevel"/>
    <w:tmpl w:val="2860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33D7"/>
    <w:multiLevelType w:val="hybridMultilevel"/>
    <w:tmpl w:val="BB9A8EE8"/>
    <w:lvl w:ilvl="0" w:tplc="A424A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7"/>
  </w:num>
  <w:num w:numId="5">
    <w:abstractNumId w:val="30"/>
  </w:num>
  <w:num w:numId="6">
    <w:abstractNumId w:val="15"/>
  </w:num>
  <w:num w:numId="7">
    <w:abstractNumId w:val="20"/>
  </w:num>
  <w:num w:numId="8">
    <w:abstractNumId w:val="12"/>
  </w:num>
  <w:num w:numId="9">
    <w:abstractNumId w:val="34"/>
  </w:num>
  <w:num w:numId="10">
    <w:abstractNumId w:val="0"/>
  </w:num>
  <w:num w:numId="11">
    <w:abstractNumId w:val="18"/>
  </w:num>
  <w:num w:numId="12">
    <w:abstractNumId w:val="1"/>
  </w:num>
  <w:num w:numId="13">
    <w:abstractNumId w:val="9"/>
  </w:num>
  <w:num w:numId="14">
    <w:abstractNumId w:val="31"/>
  </w:num>
  <w:num w:numId="15">
    <w:abstractNumId w:val="32"/>
  </w:num>
  <w:num w:numId="16">
    <w:abstractNumId w:val="24"/>
  </w:num>
  <w:num w:numId="17">
    <w:abstractNumId w:val="16"/>
  </w:num>
  <w:num w:numId="18">
    <w:abstractNumId w:val="28"/>
  </w:num>
  <w:num w:numId="19">
    <w:abstractNumId w:val="21"/>
  </w:num>
  <w:num w:numId="20">
    <w:abstractNumId w:val="35"/>
  </w:num>
  <w:num w:numId="21">
    <w:abstractNumId w:val="38"/>
  </w:num>
  <w:num w:numId="22">
    <w:abstractNumId w:val="19"/>
  </w:num>
  <w:num w:numId="23">
    <w:abstractNumId w:val="4"/>
  </w:num>
  <w:num w:numId="24">
    <w:abstractNumId w:val="37"/>
  </w:num>
  <w:num w:numId="25">
    <w:abstractNumId w:val="29"/>
  </w:num>
  <w:num w:numId="26">
    <w:abstractNumId w:val="2"/>
  </w:num>
  <w:num w:numId="27">
    <w:abstractNumId w:val="33"/>
  </w:num>
  <w:num w:numId="28">
    <w:abstractNumId w:val="5"/>
  </w:num>
  <w:num w:numId="29">
    <w:abstractNumId w:val="6"/>
  </w:num>
  <w:num w:numId="30">
    <w:abstractNumId w:val="3"/>
  </w:num>
  <w:num w:numId="31">
    <w:abstractNumId w:val="10"/>
  </w:num>
  <w:num w:numId="32">
    <w:abstractNumId w:val="8"/>
  </w:num>
  <w:num w:numId="33">
    <w:abstractNumId w:val="23"/>
  </w:num>
  <w:num w:numId="34">
    <w:abstractNumId w:val="7"/>
  </w:num>
  <w:num w:numId="35">
    <w:abstractNumId w:val="13"/>
  </w:num>
  <w:num w:numId="36">
    <w:abstractNumId w:val="36"/>
  </w:num>
  <w:num w:numId="37">
    <w:abstractNumId w:val="11"/>
  </w:num>
  <w:num w:numId="38">
    <w:abstractNumId w:val="2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0"/>
    <w:rsid w:val="00006C26"/>
    <w:rsid w:val="00020AAB"/>
    <w:rsid w:val="00106720"/>
    <w:rsid w:val="0018634F"/>
    <w:rsid w:val="002F4BB6"/>
    <w:rsid w:val="00356856"/>
    <w:rsid w:val="00361C26"/>
    <w:rsid w:val="004017F3"/>
    <w:rsid w:val="00425283"/>
    <w:rsid w:val="00431A35"/>
    <w:rsid w:val="004D463E"/>
    <w:rsid w:val="0052278E"/>
    <w:rsid w:val="00541930"/>
    <w:rsid w:val="005D7E02"/>
    <w:rsid w:val="006232CC"/>
    <w:rsid w:val="00624E84"/>
    <w:rsid w:val="00667EFF"/>
    <w:rsid w:val="00691401"/>
    <w:rsid w:val="006C5859"/>
    <w:rsid w:val="007202C9"/>
    <w:rsid w:val="00735EAC"/>
    <w:rsid w:val="007D17F7"/>
    <w:rsid w:val="00860F50"/>
    <w:rsid w:val="00870C04"/>
    <w:rsid w:val="008A7B70"/>
    <w:rsid w:val="0099464D"/>
    <w:rsid w:val="009B1648"/>
    <w:rsid w:val="00A77B0E"/>
    <w:rsid w:val="00AF1187"/>
    <w:rsid w:val="00AF58C7"/>
    <w:rsid w:val="00B83071"/>
    <w:rsid w:val="00BA79A5"/>
    <w:rsid w:val="00C23238"/>
    <w:rsid w:val="00C422AD"/>
    <w:rsid w:val="00D26C00"/>
    <w:rsid w:val="00D56065"/>
    <w:rsid w:val="00D64E41"/>
    <w:rsid w:val="00DB62B6"/>
    <w:rsid w:val="00E17D10"/>
    <w:rsid w:val="00E419D0"/>
    <w:rsid w:val="00E45A8C"/>
    <w:rsid w:val="00E6633C"/>
    <w:rsid w:val="00F92135"/>
    <w:rsid w:val="00FA28A4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94357-38E9-43D2-A9F6-67A33D7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401"/>
    <w:rPr>
      <w:color w:val="0000FF"/>
      <w:u w:val="single"/>
    </w:rPr>
  </w:style>
  <w:style w:type="paragraph" w:styleId="a5">
    <w:name w:val="No Spacing"/>
    <w:uiPriority w:val="1"/>
    <w:qFormat/>
    <w:rsid w:val="008A7B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1648"/>
    <w:pPr>
      <w:ind w:left="720"/>
      <w:contextualSpacing/>
    </w:pPr>
  </w:style>
  <w:style w:type="character" w:styleId="a7">
    <w:name w:val="Strong"/>
    <w:basedOn w:val="a0"/>
    <w:uiPriority w:val="22"/>
    <w:qFormat/>
    <w:rsid w:val="002F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176854/2915f076fe1b61f7b5e3fd7812e10b0e/" TargetMode="External"/><Relationship Id="rId21" Type="http://schemas.openxmlformats.org/officeDocument/2006/relationships/hyperlink" Target="https://base.garant.ru/71176854/7c0a81bfd7ca56da16c4048c27bc2f13/" TargetMode="External"/><Relationship Id="rId42" Type="http://schemas.openxmlformats.org/officeDocument/2006/relationships/hyperlink" Target="https://base.garant.ru/71176854/bfebbb77ca14eda42c7d88b9de9b49b0/" TargetMode="External"/><Relationship Id="rId47" Type="http://schemas.openxmlformats.org/officeDocument/2006/relationships/hyperlink" Target="https://base.garant.ru/71176854/633c8d9ec733cd744ee6055e0203c99f/" TargetMode="External"/><Relationship Id="rId63" Type="http://schemas.openxmlformats.org/officeDocument/2006/relationships/hyperlink" Target="https://base.garant.ru/71176854/664df3b232289df57577adf6c0ee3b6d/" TargetMode="External"/><Relationship Id="rId68" Type="http://schemas.openxmlformats.org/officeDocument/2006/relationships/hyperlink" Target="https://base.garant.ru/71176854/7c0a81bfd7ca56da16c4048c27bc2f13/" TargetMode="External"/><Relationship Id="rId84" Type="http://schemas.openxmlformats.org/officeDocument/2006/relationships/hyperlink" Target="https://base.garant.ru/71176854/633c8d9ec733cd744ee6055e0203c99f/" TargetMode="External"/><Relationship Id="rId89" Type="http://schemas.openxmlformats.org/officeDocument/2006/relationships/hyperlink" Target="https://base.garant.ru/71176854/2915f076fe1b61f7b5e3fd7812e10b0e/" TargetMode="External"/><Relationship Id="rId16" Type="http://schemas.openxmlformats.org/officeDocument/2006/relationships/hyperlink" Target="https://base.garant.ru/71176854/633c8d9ec733cd744ee6055e0203c99f/" TargetMode="External"/><Relationship Id="rId11" Type="http://schemas.openxmlformats.org/officeDocument/2006/relationships/hyperlink" Target="https://base.garant.ru/71176854/7c0a81bfd7ca56da16c4048c27bc2f13/" TargetMode="External"/><Relationship Id="rId32" Type="http://schemas.openxmlformats.org/officeDocument/2006/relationships/hyperlink" Target="https://base.garant.ru/71176854/664df3b232289df57577adf6c0ee3b6d/" TargetMode="External"/><Relationship Id="rId37" Type="http://schemas.openxmlformats.org/officeDocument/2006/relationships/hyperlink" Target="https://base.garant.ru/71176854/7c0a81bfd7ca56da16c4048c27bc2f13/" TargetMode="External"/><Relationship Id="rId53" Type="http://schemas.openxmlformats.org/officeDocument/2006/relationships/hyperlink" Target="https://base.garant.ru/71176854/664df3b232289df57577adf6c0ee3b6d/" TargetMode="External"/><Relationship Id="rId58" Type="http://schemas.openxmlformats.org/officeDocument/2006/relationships/hyperlink" Target="https://base.garant.ru/71176854/7c0a81bfd7ca56da16c4048c27bc2f13/" TargetMode="External"/><Relationship Id="rId74" Type="http://schemas.openxmlformats.org/officeDocument/2006/relationships/hyperlink" Target="https://base.garant.ru/71176854/ad9ca880784808b957a451f490b09cec/" TargetMode="External"/><Relationship Id="rId79" Type="http://schemas.openxmlformats.org/officeDocument/2006/relationships/hyperlink" Target="https://base.garant.ru/71176854/7c0a81bfd7ca56da16c4048c27bc2f13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base.garant.ru/71457436/53f89421bbdaf741eb2d1ecc4ddb4c33/" TargetMode="External"/><Relationship Id="rId90" Type="http://schemas.openxmlformats.org/officeDocument/2006/relationships/hyperlink" Target="https://base.garant.ru/71176854/2915f076fe1b61f7b5e3fd7812e10b0e/" TargetMode="External"/><Relationship Id="rId95" Type="http://schemas.openxmlformats.org/officeDocument/2006/relationships/hyperlink" Target="https://base.garant.ru/71176854/7c0a81bfd7ca56da16c4048c27bc2f13/" TargetMode="External"/><Relationship Id="rId22" Type="http://schemas.openxmlformats.org/officeDocument/2006/relationships/hyperlink" Target="https://base.garant.ru/71176854/7c0a81bfd7ca56da16c4048c27bc2f13/" TargetMode="External"/><Relationship Id="rId27" Type="http://schemas.openxmlformats.org/officeDocument/2006/relationships/hyperlink" Target="https://base.garant.ru/71176854/2915f076fe1b61f7b5e3fd7812e10b0e/" TargetMode="External"/><Relationship Id="rId43" Type="http://schemas.openxmlformats.org/officeDocument/2006/relationships/hyperlink" Target="https://base.garant.ru/71176854/bfebbb77ca14eda42c7d88b9de9b49b0/" TargetMode="External"/><Relationship Id="rId48" Type="http://schemas.openxmlformats.org/officeDocument/2006/relationships/hyperlink" Target="https://base.garant.ru/71176854/7c0a81bfd7ca56da16c4048c27bc2f13/" TargetMode="External"/><Relationship Id="rId64" Type="http://schemas.openxmlformats.org/officeDocument/2006/relationships/hyperlink" Target="https://base.garant.ru/71176854/7c0a81bfd7ca56da16c4048c27bc2f13/" TargetMode="External"/><Relationship Id="rId69" Type="http://schemas.openxmlformats.org/officeDocument/2006/relationships/hyperlink" Target="https://base.garant.ru/71176854/ad9ca880784808b957a451f490b09cec/" TargetMode="External"/><Relationship Id="rId80" Type="http://schemas.openxmlformats.org/officeDocument/2006/relationships/hyperlink" Target="https://base.garant.ru/71176854/bfebbb77ca14eda42c7d88b9de9b49b0/" TargetMode="External"/><Relationship Id="rId85" Type="http://schemas.openxmlformats.org/officeDocument/2006/relationships/hyperlink" Target="https://base.garant.ru/71176854/7c0a81bfd7ca56da16c4048c27bc2f13/" TargetMode="External"/><Relationship Id="rId12" Type="http://schemas.openxmlformats.org/officeDocument/2006/relationships/hyperlink" Target="https://base.garant.ru/71176854/7c0a81bfd7ca56da16c4048c27bc2f13/" TargetMode="External"/><Relationship Id="rId17" Type="http://schemas.openxmlformats.org/officeDocument/2006/relationships/hyperlink" Target="https://base.garant.ru/71833444/f7ee959fd36b5699076b35abf4f52c5c/" TargetMode="External"/><Relationship Id="rId25" Type="http://schemas.openxmlformats.org/officeDocument/2006/relationships/hyperlink" Target="https://base.garant.ru/71176854/7c0a81bfd7ca56da16c4048c27bc2f13/" TargetMode="External"/><Relationship Id="rId33" Type="http://schemas.openxmlformats.org/officeDocument/2006/relationships/hyperlink" Target="https://base.garant.ru/71176854/bfebbb77ca14eda42c7d88b9de9b49b0/" TargetMode="External"/><Relationship Id="rId38" Type="http://schemas.openxmlformats.org/officeDocument/2006/relationships/hyperlink" Target="https://base.garant.ru/71211150/1b93c134b90c6071b4dc3f495464b753/" TargetMode="External"/><Relationship Id="rId46" Type="http://schemas.openxmlformats.org/officeDocument/2006/relationships/hyperlink" Target="https://base.garant.ru/71176854/7c0a81bfd7ca56da16c4048c27bc2f13/" TargetMode="External"/><Relationship Id="rId59" Type="http://schemas.openxmlformats.org/officeDocument/2006/relationships/hyperlink" Target="https://base.garant.ru/71176854/7c0a81bfd7ca56da16c4048c27bc2f13/" TargetMode="External"/><Relationship Id="rId67" Type="http://schemas.openxmlformats.org/officeDocument/2006/relationships/hyperlink" Target="https://base.garant.ru/71176854/7c0a81bfd7ca56da16c4048c27bc2f13/" TargetMode="External"/><Relationship Id="rId20" Type="http://schemas.openxmlformats.org/officeDocument/2006/relationships/hyperlink" Target="https://base.garant.ru/71176854/7c0a81bfd7ca56da16c4048c27bc2f13/" TargetMode="External"/><Relationship Id="rId41" Type="http://schemas.openxmlformats.org/officeDocument/2006/relationships/hyperlink" Target="https://base.garant.ru/71176854/bfebbb77ca14eda42c7d88b9de9b49b0/" TargetMode="External"/><Relationship Id="rId54" Type="http://schemas.openxmlformats.org/officeDocument/2006/relationships/hyperlink" Target="https://base.garant.ru/71176854/bfebbb77ca14eda42c7d88b9de9b49b0/" TargetMode="External"/><Relationship Id="rId62" Type="http://schemas.openxmlformats.org/officeDocument/2006/relationships/hyperlink" Target="https://base.garant.ru/71176854/bfebbb77ca14eda42c7d88b9de9b49b0/" TargetMode="External"/><Relationship Id="rId70" Type="http://schemas.openxmlformats.org/officeDocument/2006/relationships/hyperlink" Target="https://base.garant.ru/71176854/7c0a81bfd7ca56da16c4048c27bc2f13/" TargetMode="External"/><Relationship Id="rId75" Type="http://schemas.openxmlformats.org/officeDocument/2006/relationships/hyperlink" Target="https://base.garant.ru/71176854/7c0a81bfd7ca56da16c4048c27bc2f13/" TargetMode="External"/><Relationship Id="rId83" Type="http://schemas.openxmlformats.org/officeDocument/2006/relationships/hyperlink" Target="https://normativ.kontur.ru/document?moduleId=1&amp;documentId=327032" TargetMode="External"/><Relationship Id="rId88" Type="http://schemas.openxmlformats.org/officeDocument/2006/relationships/hyperlink" Target="https://base.garant.ru/71176854/7c0a81bfd7ca56da16c4048c27bc2f13/" TargetMode="External"/><Relationship Id="rId91" Type="http://schemas.openxmlformats.org/officeDocument/2006/relationships/hyperlink" Target="https://base.garant.ru/71176854/7c0a81bfd7ca56da16c4048c27bc2f13/" TargetMode="External"/><Relationship Id="rId96" Type="http://schemas.openxmlformats.org/officeDocument/2006/relationships/hyperlink" Target="https://base.garant.ru/71176854/7c0a81bfd7ca56da16c4048c27bc2f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57074/" TargetMode="External"/><Relationship Id="rId15" Type="http://schemas.openxmlformats.org/officeDocument/2006/relationships/hyperlink" Target="https://base.garant.ru/71833444/" TargetMode="External"/><Relationship Id="rId23" Type="http://schemas.openxmlformats.org/officeDocument/2006/relationships/hyperlink" Target="https://base.garant.ru/71176854/7c0a81bfd7ca56da16c4048c27bc2f13/" TargetMode="External"/><Relationship Id="rId28" Type="http://schemas.openxmlformats.org/officeDocument/2006/relationships/hyperlink" Target="https://base.garant.ru/71457436/" TargetMode="External"/><Relationship Id="rId36" Type="http://schemas.openxmlformats.org/officeDocument/2006/relationships/hyperlink" Target="https://base.garant.ru/71176854/7c0a81bfd7ca56da16c4048c27bc2f13/" TargetMode="External"/><Relationship Id="rId49" Type="http://schemas.openxmlformats.org/officeDocument/2006/relationships/hyperlink" Target="https://base.garant.ru/71176854/7c0a81bfd7ca56da16c4048c27bc2f13/" TargetMode="External"/><Relationship Id="rId57" Type="http://schemas.openxmlformats.org/officeDocument/2006/relationships/hyperlink" Target="https://base.garant.ru/71176854/bfebbb77ca14eda42c7d88b9de9b49b0/" TargetMode="External"/><Relationship Id="rId10" Type="http://schemas.openxmlformats.org/officeDocument/2006/relationships/hyperlink" Target="https://base.garant.ru/71176854/7c0a81bfd7ca56da16c4048c27bc2f13/" TargetMode="External"/><Relationship Id="rId31" Type="http://schemas.openxmlformats.org/officeDocument/2006/relationships/hyperlink" Target="https://base.garant.ru/71176854/bfebbb77ca14eda42c7d88b9de9b49b0/" TargetMode="External"/><Relationship Id="rId44" Type="http://schemas.openxmlformats.org/officeDocument/2006/relationships/hyperlink" Target="https://base.garant.ru/71176854/664df3b232289df57577adf6c0ee3b6d/" TargetMode="External"/><Relationship Id="rId52" Type="http://schemas.openxmlformats.org/officeDocument/2006/relationships/hyperlink" Target="https://base.garant.ru/71176854/bfebbb77ca14eda42c7d88b9de9b49b0/" TargetMode="External"/><Relationship Id="rId60" Type="http://schemas.openxmlformats.org/officeDocument/2006/relationships/hyperlink" Target="https://base.garant.ru/71176854/7c0a81bfd7ca56da16c4048c27bc2f13/" TargetMode="External"/><Relationship Id="rId65" Type="http://schemas.openxmlformats.org/officeDocument/2006/relationships/hyperlink" Target="https://base.garant.ru/71176854/7c0a81bfd7ca56da16c4048c27bc2f13/" TargetMode="External"/><Relationship Id="rId73" Type="http://schemas.openxmlformats.org/officeDocument/2006/relationships/hyperlink" Target="https://base.garant.ru/71176854/7c0a81bfd7ca56da16c4048c27bc2f13/" TargetMode="External"/><Relationship Id="rId78" Type="http://schemas.openxmlformats.org/officeDocument/2006/relationships/hyperlink" Target="https://base.garant.ru/71176854/ad9ca880784808b957a451f490b09cec/" TargetMode="External"/><Relationship Id="rId81" Type="http://schemas.openxmlformats.org/officeDocument/2006/relationships/hyperlink" Target="https://base.garant.ru/71176854/664df3b232289df57577adf6c0ee3b6d/" TargetMode="External"/><Relationship Id="rId86" Type="http://schemas.openxmlformats.org/officeDocument/2006/relationships/hyperlink" Target="https://base.garant.ru/71176854/7c0a81bfd7ca56da16c4048c27bc2f13/" TargetMode="External"/><Relationship Id="rId94" Type="http://schemas.openxmlformats.org/officeDocument/2006/relationships/hyperlink" Target="https://base.garant.ru/71176854/7c0a81bfd7ca56da16c4048c27bc2f13/" TargetMode="External"/><Relationship Id="rId99" Type="http://schemas.openxmlformats.org/officeDocument/2006/relationships/hyperlink" Target="https://base.garant.ru/71176854/7c0a81bfd7ca56da16c4048c27bc2f13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76854/7c0a81bfd7ca56da16c4048c27bc2f13/" TargetMode="External"/><Relationship Id="rId13" Type="http://schemas.openxmlformats.org/officeDocument/2006/relationships/hyperlink" Target="https://base.garant.ru/71176854/7c0a81bfd7ca56da16c4048c27bc2f13/" TargetMode="External"/><Relationship Id="rId18" Type="http://schemas.openxmlformats.org/officeDocument/2006/relationships/hyperlink" Target="https://base.garant.ru/71176854/7c0a81bfd7ca56da16c4048c27bc2f13/" TargetMode="External"/><Relationship Id="rId39" Type="http://schemas.openxmlformats.org/officeDocument/2006/relationships/hyperlink" Target="https://base.garant.ru/71833444/" TargetMode="External"/><Relationship Id="rId34" Type="http://schemas.openxmlformats.org/officeDocument/2006/relationships/hyperlink" Target="https://base.garant.ru/71176854/bfebbb77ca14eda42c7d88b9de9b49b0/" TargetMode="External"/><Relationship Id="rId50" Type="http://schemas.openxmlformats.org/officeDocument/2006/relationships/hyperlink" Target="https://base.garant.ru/71323388/" TargetMode="External"/><Relationship Id="rId55" Type="http://schemas.openxmlformats.org/officeDocument/2006/relationships/hyperlink" Target="https://base.garant.ru/71176854/bfebbb77ca14eda42c7d88b9de9b49b0/" TargetMode="External"/><Relationship Id="rId76" Type="http://schemas.openxmlformats.org/officeDocument/2006/relationships/hyperlink" Target="https://base.garant.ru/71176854/ad9ca880784808b957a451f490b09cec/" TargetMode="External"/><Relationship Id="rId97" Type="http://schemas.openxmlformats.org/officeDocument/2006/relationships/hyperlink" Target="https://base.garant.ru/71176854/633c8d9ec733cd744ee6055e0203c99f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base.garant.ru/71176854/ad9ca880784808b957a451f490b09cec/" TargetMode="External"/><Relationship Id="rId92" Type="http://schemas.openxmlformats.org/officeDocument/2006/relationships/hyperlink" Target="https://base.garant.ru/71176854/7c0a81bfd7ca56da16c4048c27bc2f1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7685331/948c9c0734b6e944a4727660f2d5a027/" TargetMode="External"/><Relationship Id="rId24" Type="http://schemas.openxmlformats.org/officeDocument/2006/relationships/hyperlink" Target="https://base.garant.ru/71176854/7c0a81bfd7ca56da16c4048c27bc2f13/" TargetMode="External"/><Relationship Id="rId40" Type="http://schemas.openxmlformats.org/officeDocument/2006/relationships/hyperlink" Target="https://base.garant.ru/71176854/bfebbb77ca14eda42c7d88b9de9b49b0/" TargetMode="External"/><Relationship Id="rId45" Type="http://schemas.openxmlformats.org/officeDocument/2006/relationships/hyperlink" Target="https://base.garant.ru/71176854/7c0a81bfd7ca56da16c4048c27bc2f13/" TargetMode="External"/><Relationship Id="rId66" Type="http://schemas.openxmlformats.org/officeDocument/2006/relationships/hyperlink" Target="https://base.garant.ru/71176854/7c0a81bfd7ca56da16c4048c27bc2f13/" TargetMode="External"/><Relationship Id="rId87" Type="http://schemas.openxmlformats.org/officeDocument/2006/relationships/hyperlink" Target="https://base.garant.ru/71176854/7c0a81bfd7ca56da16c4048c27bc2f13/" TargetMode="External"/><Relationship Id="rId61" Type="http://schemas.openxmlformats.org/officeDocument/2006/relationships/hyperlink" Target="https://base.garant.ru/71176854/7c0a81bfd7ca56da16c4048c27bc2f13/" TargetMode="External"/><Relationship Id="rId82" Type="http://schemas.openxmlformats.org/officeDocument/2006/relationships/hyperlink" Target="https://base.garant.ru/71176854/bfebbb77ca14eda42c7d88b9de9b49b0/" TargetMode="External"/><Relationship Id="rId19" Type="http://schemas.openxmlformats.org/officeDocument/2006/relationships/hyperlink" Target="https://base.garant.ru/71176854/633c8d9ec733cd744ee6055e0203c99f/" TargetMode="External"/><Relationship Id="rId14" Type="http://schemas.openxmlformats.org/officeDocument/2006/relationships/hyperlink" Target="https://base.garant.ru/71176854/7c0a81bfd7ca56da16c4048c27bc2f13/" TargetMode="External"/><Relationship Id="rId30" Type="http://schemas.openxmlformats.org/officeDocument/2006/relationships/hyperlink" Target="https://base.garant.ru/71176854/bfebbb77ca14eda42c7d88b9de9b49b0/" TargetMode="External"/><Relationship Id="rId35" Type="http://schemas.openxmlformats.org/officeDocument/2006/relationships/hyperlink" Target="https://base.garant.ru/71176854/633c8d9ec733cd744ee6055e0203c99f/" TargetMode="External"/><Relationship Id="rId56" Type="http://schemas.openxmlformats.org/officeDocument/2006/relationships/hyperlink" Target="https://base.garant.ru/71457436/" TargetMode="External"/><Relationship Id="rId77" Type="http://schemas.openxmlformats.org/officeDocument/2006/relationships/hyperlink" Target="https://base.garant.ru/71176854/7c0a81bfd7ca56da16c4048c27bc2f13/" TargetMode="External"/><Relationship Id="rId100" Type="http://schemas.openxmlformats.org/officeDocument/2006/relationships/hyperlink" Target="https://base.garant.ru/71176854/633c8d9ec733cd744ee6055e0203c99f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base.garant.ru/71176854/bfebbb77ca14eda42c7d88b9de9b49b0/" TargetMode="External"/><Relationship Id="rId72" Type="http://schemas.openxmlformats.org/officeDocument/2006/relationships/hyperlink" Target="https://base.garant.ru/71176854/633c8d9ec733cd744ee6055e0203c99f/" TargetMode="External"/><Relationship Id="rId93" Type="http://schemas.openxmlformats.org/officeDocument/2006/relationships/hyperlink" Target="https://base.garant.ru/71176854/7c0a81bfd7ca56da16c4048c27bc2f13/" TargetMode="External"/><Relationship Id="rId98" Type="http://schemas.openxmlformats.org/officeDocument/2006/relationships/hyperlink" Target="https://base.garant.ru/71176854/7c0a81bfd7ca56da16c4048c27bc2f1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7445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12</cp:revision>
  <dcterms:created xsi:type="dcterms:W3CDTF">2022-12-17T20:15:00Z</dcterms:created>
  <dcterms:modified xsi:type="dcterms:W3CDTF">2022-12-18T14:46:00Z</dcterms:modified>
</cp:coreProperties>
</file>